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non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Р О С С И Й С К А Я   Ф Е Д Е Р А Ц И Я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3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32"/>
          <w:highlight w:val="white"/>
        </w:rPr>
        <w:t>Б Е Л Г О Р О Д С К А Я    О Б Л А С Т Ь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/>
        <w:drawing>
          <wp:inline distT="0" distB="0" distL="0" distR="0">
            <wp:extent cx="572135" cy="78168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22" r="-65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16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16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МУНИЦИПАЛЬНЫЙ СОВЕТ МУНИЦИПАЛЬНОГО РАЙОНА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«РОВЕНЬСКИЙ РАЙОН»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ЧЕТВЁРТОГО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СОЗЫВА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Р Е Ш Е Н И Е                    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highlight w:val="white"/>
        </w:rPr>
      </w:r>
    </w:p>
    <w:p>
      <w:pPr>
        <w:pStyle w:val="Normal"/>
        <w:jc w:val="left"/>
        <w:rPr/>
      </w:pPr>
      <w:r>
        <w:rPr>
          <w:b/>
          <w:bCs/>
          <w:sz w:val="28"/>
        </w:rPr>
        <w:t>26 января</w:t>
      </w:r>
      <w:r>
        <w:rPr>
          <w:b/>
          <w:bCs/>
          <w:sz w:val="28"/>
        </w:rPr>
        <w:t xml:space="preserve"> 2024 г. </w:t>
      </w:r>
      <w:r>
        <w:rPr>
          <w:b/>
          <w:sz w:val="28"/>
        </w:rPr>
        <w:t xml:space="preserve">            </w:t>
        <w:tab/>
        <w:t xml:space="preserve">                                                                     № </w:t>
      </w:r>
      <w:r>
        <w:rPr>
          <w:b/>
          <w:bCs/>
          <w:sz w:val="28"/>
        </w:rPr>
        <w:t>5</w:t>
      </w:r>
      <w:r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  <w:r>
        <w:rPr>
          <w:b/>
          <w:bCs/>
          <w:sz w:val="28"/>
        </w:rPr>
        <w:t>9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521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1"/>
      </w:tblGrid>
      <w:tr>
        <w:trPr>
          <w:trHeight w:val="1356" w:hRule="atLeast"/>
        </w:trPr>
        <w:tc>
          <w:tcPr>
            <w:tcW w:w="5211" w:type="dxa"/>
            <w:tcBorders/>
          </w:tcPr>
          <w:p>
            <w:pPr>
              <w:pStyle w:val="Style12"/>
              <w:widowControl w:val="false"/>
              <w:spacing w:before="0" w:after="140"/>
              <w:jc w:val="both"/>
              <w:rPr>
                <w:rFonts w:ascii="Times New Roman" w:hAnsi="Times New Roman" w:eastAsia="Times New Roman" w:cs="Times New Roman"/>
                <w:sz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Муниципального совета Ровеньского района от 20 августа 2021 года №39/297 «Об утверждении Положения о муниципальном земельном контроле на территории Ровеньского района»</w:t>
            </w:r>
          </w:p>
        </w:tc>
      </w:tr>
    </w:tbl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2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2"/>
          <w:highlight w:val="white"/>
        </w:rPr>
      </w:r>
    </w:p>
    <w:p>
      <w:pPr>
        <w:pStyle w:val="Style12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6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6"/>
          <w:highlight w:val="white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31 июня 2020 года №248-ФЗ «О государственном контроле (надзоре) и муниципальном контроле в Российской Федерации», руководствуясь Уставом муниципального района «Ровеньский район» Белгородской области, Муниципальный совет Ровеньского района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</w:rPr>
        <w:t>р е ш и л: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1. Внести в решение Муниципального совета Ровеньского района от 20 августа 2021 года №39/297 «Об утверждении Положения о муниципальном земельном контроле на территории Ровеньского района» следующие изменения: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1) пункт 1.4. изложить в новой редакции: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«1.4. От имени администрации Ровеньского района муниципальный земельный контроль вправе осуществлять специалист отдела земельных правоотношений администрации Ровеньского района, должностные лица городского и сельских поселений администраций Ровеньского района (по согласованию), в обязанности которых входит осуществление муниципального земельного контроля, в соответствии с должностными инструкциями (далее - инспекторы).»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2) добавить пункт 1.8. следующего содержания: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«1.8. Инспекторы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Белгородской области, органами местного самоуправления, правоохранительными органами, организациями и гражданами.»</w:t>
      </w:r>
    </w:p>
    <w:p>
      <w:pPr>
        <w:pStyle w:val="Normal"/>
        <w:spacing w:lineRule="auto" w:line="240" w:before="0" w:afterAutospacing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) пункт 2.1 изложить в новой редакции: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ind w:left="0" w:right="0" w:firstLine="567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«2.1. В соответствии с оценкой риска причинения вреда (ущерба) охраняемым законом ценностям устанавливаются 3 категорий рисков: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2.1.1. Средний риск.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2.1.2. Умеренный риск.</w:t>
      </w:r>
    </w:p>
    <w:p>
      <w:pPr>
        <w:pStyle w:val="Normal"/>
        <w:tabs>
          <w:tab w:val="clear" w:pos="709"/>
          <w:tab w:val="left" w:pos="732" w:leader="none"/>
          <w:tab w:val="left" w:pos="1567" w:leader="none"/>
          <w:tab w:val="left" w:pos="1603" w:leader="none"/>
          <w:tab w:val="left" w:pos="1759" w:leader="none"/>
          <w:tab w:val="left" w:pos="2015" w:leader="none"/>
          <w:tab w:val="left" w:pos="2097" w:leader="none"/>
          <w:tab w:val="left" w:pos="3084" w:leader="none"/>
          <w:tab w:val="left" w:pos="4185" w:leader="none"/>
          <w:tab w:val="left" w:pos="5537" w:leader="none"/>
          <w:tab w:val="left" w:pos="5932" w:leader="none"/>
          <w:tab w:val="left" w:pos="7264" w:leader="none"/>
          <w:tab w:val="left" w:pos="7570" w:leader="none"/>
          <w:tab w:val="left" w:pos="9279" w:leader="none"/>
          <w:tab w:val="left" w:pos="10074" w:leader="none"/>
        </w:tabs>
        <w:spacing w:lineRule="auto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2.1.3. Низкий риск.</w:t>
      </w:r>
    </w:p>
    <w:p>
      <w:pPr>
        <w:pStyle w:val="Normal"/>
        <w:tabs>
          <w:tab w:val="left" w:pos="709" w:leader="none"/>
        </w:tabs>
        <w:spacing w:lineRule="auto" w:line="24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2.2. К категории среднего риска относятся:</w:t>
      </w:r>
    </w:p>
    <w:p>
      <w:pPr>
        <w:pStyle w:val="Normal"/>
        <w:tabs>
          <w:tab w:val="clear" w:pos="709"/>
          <w:tab w:val="left" w:pos="1020" w:leader="none"/>
        </w:tabs>
        <w:spacing w:lineRule="auto" w:line="240" w:before="0" w:after="0"/>
        <w:ind w:firstLine="102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>
      <w:pPr>
        <w:pStyle w:val="Normal"/>
        <w:tabs>
          <w:tab w:val="clear" w:pos="709"/>
          <w:tab w:val="left" w:pos="1020" w:leader="none"/>
        </w:tabs>
        <w:spacing w:lineRule="auto" w:line="240" w:before="0" w:after="0"/>
        <w:ind w:firstLine="102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земельные участки, предназначенные для гаражного и (или) жилищного строительства;</w:t>
      </w:r>
    </w:p>
    <w:p>
      <w:pPr>
        <w:pStyle w:val="Normal"/>
        <w:spacing w:lineRule="auto" w:line="240" w:before="0" w:after="0"/>
        <w:ind w:firstLine="102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земельные участки, расположенные в границах или примыкающие к границе береговой полосы водных объектов общего пользования.</w:t>
      </w:r>
    </w:p>
    <w:p>
      <w:pPr>
        <w:pStyle w:val="Normal"/>
        <w:tabs>
          <w:tab w:val="clear" w:pos="709"/>
          <w:tab w:val="left" w:pos="1020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ab/>
        <w:t>К категории умеренного риска относятся земельные участки:</w:t>
      </w:r>
    </w:p>
    <w:p>
      <w:pPr>
        <w:pStyle w:val="Normal"/>
        <w:spacing w:lineRule="auto" w:line="240" w:before="0" w:after="0"/>
        <w:ind w:firstLine="102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</w:p>
    <w:p>
      <w:pPr>
        <w:pStyle w:val="Normal"/>
        <w:tabs>
          <w:tab w:val="clear" w:pos="709"/>
          <w:tab w:val="left" w:pos="1020" w:leader="none"/>
        </w:tabs>
        <w:spacing w:lineRule="auto" w:line="240" w:before="0" w:after="0"/>
        <w:ind w:firstLine="102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>
      <w:pPr>
        <w:pStyle w:val="Normal"/>
        <w:spacing w:lineRule="auto" w:line="240" w:before="0" w:after="0"/>
        <w:ind w:firstLine="102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>
      <w:pPr>
        <w:pStyle w:val="Normal"/>
        <w:spacing w:lineRule="auto" w:line="240" w:before="0" w:after="0"/>
        <w:ind w:firstLine="102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-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>
      <w:pPr>
        <w:pStyle w:val="Normal"/>
        <w:spacing w:lineRule="auto" w:line="240" w:before="0" w:after="0"/>
        <w:ind w:firstLine="1020"/>
        <w:contextualSpacing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Отнесение земельных участков к одной из категории риска осуществляется на основе сопоставления его характеристик с утвержденными критериями риска.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При отнесении земельных участков к категориям риска используются в том числе: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1) сведения, содержащиеся в Едином государственном реестре недвижимости;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2) сведения, получаемые при проведении должностными лицами, уполномоченными осуществлять муниципальный земельный контроль, профилактических и контрольных мероприятий;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3) иные сведения, которыми располагает орган муниципального земельного контроля.»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) пункт 2.5 изложить в новой редакции: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«2.5. Проведение органом муниципального земельного контроля плановых контрольных мероприятий в зависимости от присвоенной категории риска осуществляется со следующей периодичностью: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1) для земельных участков, отнесенных к категории среднего риска, - одно контрольное мероприятие раз в 3 года;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2) для земельных участков, отнесенных к категории умеренного риска, - одно контрольное мероприятие раз в 6 лет.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В отношении земельных участков, отнесенных к категории низкого риска, плановые контрольные мероприятия не проводятся.»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) добавить пункт 2.6. следующего содержания: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В ежегодные планы плановых контрольных мероприятий подлежат включению контрольные мероприятия в отношении объектов земельных отношений, для которых в году реализации ежегодного плана истекает период времени с даты окончания проведения последнего планового контрольного мероприятия, для объектов земельных отношений, отнесенных к категории: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1) среднего риска - не менее 3 лет;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2) умеренного риска - не менее 6 лет.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Правообладатель земельного участка вправе подать в орган муниципального земельного контроля заявление об изменении категории риска земельного участка в случае его соответствия критериям риска для отнесения к иной категории риска.</w:t>
      </w:r>
    </w:p>
    <w:p>
      <w:pPr>
        <w:pStyle w:val="Normal"/>
        <w:spacing w:lineRule="auto" w:line="240" w:before="0" w:afterAutospacing="0" w:after="0"/>
        <w:ind w:left="0" w:right="0" w:firstLine="992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) приложение №1 изложить в новой редакции:</w:t>
      </w:r>
    </w:p>
    <w:p>
      <w:pPr>
        <w:pStyle w:val="Normal"/>
        <w:widowControl/>
        <w:spacing w:lineRule="auto" w:line="240"/>
        <w:ind w:left="4820" w:right="0" w:hanging="0"/>
        <w:jc w:val="right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00" w:val="clear"/>
        </w:rPr>
        <w:t>«Приложение № 1</w:t>
      </w:r>
    </w:p>
    <w:p>
      <w:pPr>
        <w:pStyle w:val="Normal"/>
        <w:widowControl/>
        <w:spacing w:lineRule="auto" w:line="240"/>
        <w:ind w:left="4820" w:right="0" w:hanging="0"/>
        <w:jc w:val="right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00" w:val="clear"/>
        </w:rPr>
        <w:t>к Положению о муниципальном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FF" w:val="clear"/>
        </w:rPr>
        <w:t xml:space="preserve"> </w:t>
      </w:r>
    </w:p>
    <w:p>
      <w:pPr>
        <w:pStyle w:val="Normal"/>
        <w:widowControl/>
        <w:spacing w:lineRule="auto" w:line="240"/>
        <w:ind w:left="482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00" w:val="clear"/>
        </w:rPr>
        <w:t>земельном контроле на территории</w:t>
      </w:r>
    </w:p>
    <w:p>
      <w:pPr>
        <w:pStyle w:val="Normal"/>
        <w:widowControl/>
        <w:spacing w:lineRule="auto" w:line="240"/>
        <w:ind w:left="4820" w:right="0" w:hanging="0"/>
        <w:jc w:val="right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shd w:fill="FFFF00" w:val="clear"/>
        </w:rPr>
        <w:t>Ровеньского района</w:t>
      </w:r>
    </w:p>
    <w:p>
      <w:pPr>
        <w:pStyle w:val="ConsPlusNormal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sz w:val="28"/>
          <w:highlight w:val="white"/>
        </w:rPr>
      </w:r>
    </w:p>
    <w:p>
      <w:pPr>
        <w:pStyle w:val="ConsPlusNormal"/>
        <w:spacing w:lineRule="auto" w:line="240"/>
        <w:ind w:left="0" w:right="0" w:hanging="0"/>
        <w:jc w:val="center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/>
          <w:b/>
          <w:sz w:val="28"/>
          <w:highlight w:val="white"/>
          <w:shd w:fill="FFFF00" w:val="clear"/>
        </w:rPr>
        <w:t>Перечень индикаторов риска</w:t>
      </w:r>
      <w:r>
        <w:rPr>
          <w:rFonts w:eastAsia="Times New Roman" w:cs="Times New Roman"/>
          <w:b/>
          <w:sz w:val="28"/>
          <w:highlight w:val="white"/>
          <w:shd w:fill="FFFFFF" w:val="clear"/>
        </w:rPr>
        <w:t xml:space="preserve"> </w:t>
      </w:r>
    </w:p>
    <w:p>
      <w:pPr>
        <w:pStyle w:val="ConsPlusNormal"/>
        <w:spacing w:lineRule="auto" w:line="240"/>
        <w:jc w:val="center"/>
        <w:rPr>
          <w:rFonts w:ascii="Times New Roman" w:hAnsi="Times New Roman" w:eastAsia="Times New Roman" w:cs="Times New Roman"/>
          <w:b/>
          <w:sz w:val="28"/>
          <w:highlight w:val="white"/>
        </w:rPr>
      </w:pPr>
      <w:r>
        <w:rPr>
          <w:rFonts w:eastAsia="Times New Roman" w:cs="Times New Roman"/>
          <w:b/>
          <w:sz w:val="28"/>
          <w:highlight w:val="white"/>
          <w:shd w:fill="FFFF00" w:val="clear"/>
        </w:rPr>
        <w:t>нарушения обязательных требований, проверяемых в рамках</w:t>
      </w:r>
      <w:r>
        <w:rPr>
          <w:rFonts w:eastAsia="Times New Roman" w:cs="Times New Roman"/>
          <w:b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/>
          <w:sz w:val="28"/>
          <w:highlight w:val="white"/>
          <w:shd w:fill="FFFF00" w:val="clear"/>
        </w:rPr>
        <w:t>осуществления муниципального земельного контроля</w:t>
      </w:r>
      <w:r>
        <w:rPr>
          <w:rFonts w:eastAsia="Times New Roman" w:cs="Times New Roman"/>
          <w:sz w:val="28"/>
          <w:highlight w:val="white"/>
          <w:shd w:fill="FFFF00" w:val="clear"/>
        </w:rPr>
        <w:t xml:space="preserve"> </w:t>
      </w:r>
      <w:r>
        <w:rPr>
          <w:rFonts w:eastAsia="Times New Roman" w:cs="Times New Roman"/>
          <w:b/>
          <w:sz w:val="28"/>
          <w:highlight w:val="white"/>
          <w:shd w:fill="FFFF00" w:val="clear"/>
        </w:rPr>
        <w:t>на территории</w:t>
      </w:r>
      <w:r>
        <w:rPr>
          <w:rFonts w:eastAsia="Times New Roman" w:cs="Times New Roman"/>
          <w:b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/>
          <w:sz w:val="28"/>
          <w:highlight w:val="white"/>
          <w:shd w:fill="FFFF00" w:val="clear"/>
        </w:rPr>
        <w:t>Ровеньского района Белгородской области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</w:rPr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1. Отступление фактической границы используемого гражданином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, юридическим лицом, индивидуальным предпринимателем земельного участка (места размещения ограждения земельного участка), отнесенного к землям населенных пунктов, от границы земельного участка соответствующего лица, сведения о которой содержатся в Едином государственном реестре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недвижимости, более чем на 20 сантиметров.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2. Отступление фактической границы используемого гражданином,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юридическим лицом, индивидуальным предпринимателем земельного участка (места размещения ограждения земельного участка), отнесенного к землям сельскохозяйственного назначения, от границы земельного участка соответствующего лица, сведения о которой содержатся в Едином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государственном реестре недвижимости, более чем на 50 сантиметров.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 Отступление фактической границы используемого гражданином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, юридическим лицом, индивидуальным предпринимателем земельного участка (места размещения ограждения земельного участка), отнесенного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назначения, от границы земельного участка соответствующего лица, сведения о которой содержатся в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Едином государственном реестре недвижимости, более чем на 1 метр.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4. Отступление фактической границы используемого гражданин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ом, юридическим лицом, индивидуальным предпринимателем земельного участка (ограждения земельного участка), отнесенного к землям водного фонда и землям запаса, от границы земельного участка соответствующего лица, сведения о которой содержатся в Едином государственном реестре недвижимости, более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чем на 5 метров.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5. Превышение площади используемого гражданином, юридически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м лицом, индивидуальным предпринимателем земельного участка над площадью земельного участка соответствующего лица, сведения о которой содержатся в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Едином государственном реестре недвижимости, более чем на 10%.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6. Отсутствие в Едином государственном реестре недвижимости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и архивах администрации Ровеньского района Белгородской области сведений о правах (документах) на используемый гражданином, юридическим лицом,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индивидуальным предпринимателем земельный участок.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7. Наступление истечения срока для исполнения собственник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ом (владельцем) земельного участка обязанности по приведению земельного участка в состояние, пригодное для использования по целевому назначению, рекультивации земельного участка в случае, если соответствующий срок установлен нормативным правовым актом или иным документом (договором аренды земельного участка, разрешением на использование земельного участка без его предоставления и установления сервитута, проектной документацией и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др.).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8. Получение сведений в рамках проведения контрольного мероприят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ия без взаимодействия о возможном использовании гражданином, юридическим лицом, индивидуальным предпринимателем земельного участка не в соответствии с целевым назначением, указанным в Едином государственном реестре недвижимости или правоустанавливающих документах на земельный участок при отсутствии сведений в Едином государственном реестре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недвижимости.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9. Отсутствие объектов капитального строительства, ведени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я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строительных работ, связанных с возведением объектов капитальн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федеральным законом.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10. Получение сведений в рамках проведения контрольно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го мероприятия без взаимодействия о наличии на земельном участке дикорастущей растительности и (или) древесно-кустарниковой растительности, не относящейся к многолетним ягодным насаждениям, за исключением мелиоративных защитных лесных насаждений, земельных участков земель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сельскохозяйственного назначения.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11. Отсутствие в органе муниципального контроля по истечении тре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месяцев со дня объявления первого предостережения сведений об устранении нарушения (угрозы нарушения) обязательных требований контролируемым лицом, полученных в рамках проведения контрольного мероприятия без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взаимодействия.»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7) раздел 3 изложить в новой редакции: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«3.1. Профилактические мероприятия осуществляются Контрольны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обязательных требований до контролируемых лиц, способов их соблюдения.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3.2. При осуществлении муниципального земельного контро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ля проведение профилактических мероприятий, направленных на снижение риска причинения вреда (ущерба), является приоритетным по отношению к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проведению контрольных мероприятий.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 xml:space="preserve">3.3. Профилактические мероприятия осуществляются в соответствии 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с ежегодно утверждаемой в порядке, установленном Правительством Российской Федерации, программой профилактики рисков причинения вреда (ущерба) охраняемым законом ценностям (далее - программа профилактики рисков причинения вреда (ущерба)). Утвержденная программа профилактики рисков причинения вреда (ущерба) размещается на официальном сайте органов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местного самоуправления Ровеньского района в сети «Интернет».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3.4. Контрольным органом при осуществлении муниципально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го земельного контроля могут проводиться следующие виды профилактических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мероприятий: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информирование;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объявление предостережения;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консультирование;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профилактический визит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обобщение правоприменительной практики.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3.5. Информирование осуществляется Контрольным органом п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вопросам соблюдения обязательных требований посредством размещения соответствующих сведений на официальном сайте органов местного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самоуправления Ровеньского района в сети «Интернет», в средствах массово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й информации, через личные кабинеты контролируемых лиц в государственных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информационных системах (при их наличии) и в иных формах.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 Предостережение о недопустимости нарушения обязательны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требований объявляется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предложение о принятии мер по обеспечению соблюдения обязательных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требований.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3.6.1. Предостережение о недопустимости нарушения обязательны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х требований составляется по форме, утвержденной Приказом Минэкономразвития России от 31 марта 2021 года № 151 «О типовых формах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документов, используемых контрольным (надзорным) органом».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3.6.2. Объявляемые предостережения о недопустимости нарушения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обязательных требований регистрируются в журнале учета предостережений с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присвоением регистрационного номера.</w:t>
      </w:r>
    </w:p>
    <w:p>
      <w:pPr>
        <w:pStyle w:val="ConsPlusNormal"/>
        <w:shd w:val="clear" w:color="FFFFFF" w:themeColor="background1" w:fill="FFFFFF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3.6.3. В случае объявления Контрольным органом предостережения 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его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соответствующие обоснования.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 Консультирование контролируемых лиц и их представителей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осуществляется должностным лицом Контрольного органа: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виде устных разъяснений по телефону, посредством видео-конференц-связи, на личном приеме либо в ходе проведения профилактического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мероприятия, контрольного мероприятия и не должно превышать 15 минут;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виде письменных разъяснений;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посредством размещения на официальном сайте органов местног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самоуправления администрации Ровеньского района в сети «Интернет» письменного разъяснения, подписанного руководителем Контрольного органа, по однотипным обращениям (более пяти однотипных обращений)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контролируемых лиц и их представителей.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3.7.1. Устное консультирование осуществляется по следующим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вопросам: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организация и осуществление муниципального земельного контроля;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порядок осуществления контрольных мероприятий, установленных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настоящим Положением;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порядок обжалования действий (бездействия) должностных лиц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Контрольного органа;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получение информации о нормативных правовых актах (их отдельных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положениях), содержащих обязательные требования, оценка соблюдения которых осуществляется Контрольным органом в рамках контрольных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мероприятий.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3.7.2. Консультирование в письменной форме осуществляется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должностным лицом Контрольного органа в следующих случаях: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контролируемым лицом представлен письменный запрос 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представлении письменного ответа по вопросам консультирования;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за время консультирования предоставить ответ на поставленные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вопросы невозможно;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ответ на поставленные вопросы требует дополнительного запроса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сведений.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3.7.3. При осуществлении консультирования должностное лицо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Контрольного органа обязано соблюдать конфиденциальность информации, доступ к которой ограничен в соответствии с законодательством Российской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Федерации.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3.7.4. В ходе консультирования не может предоставляться информация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проведенной в рамках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контрольного мероприятия экспертизы.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3.7.5. Информация, ставшая известной должностному лицу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Контрольного органа в ходе консультирования, не может использоваться Контрольным органом в целях оценки контролируемого лица по вопросам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соблюдения обязательных требований.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3.7.6. Контрольным органом осуществляется учет проведенных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консультирований.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 Орган муниципального земельного контроля рассматривает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органа муниципального земельного контроля, категории риска объекта контроля, о чем уведомляет контролируемое лицо.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категории риска.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3.8.1. В ходе профилактического визита инспектором осуществляется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консультирование контролируемого лица, а также сбор сведений, необходимых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для отнесения объектов контроля к категории риска.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3.8.2. При проведении профилактического визита контролируемым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лицам не выдаются предписания об устранении нарушений обязательных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требований.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3.8.3. Орган муниципального контроля принимает решение об отказе в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проведении профилактического визита по заявлению контролируемого лица по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одному из следующих оснований: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от контролируемого лица поступило заявление об отзыве заявления 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проведении профилактического визита;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течение двух месяцев до даты подачи заявления контролируемого лица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контрольным (надзорным) органом было принято решение об отказе в проведении профилактического визита в отношении данного контролируемого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лица;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течение шести месяцев до даты подачи заявления контролируемог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невозможность проведения профилактического визита;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заявление контролируемого лица содержит нецензурные либо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оскорбительные выражения, угрозы жизни, здоровью и имуществу должностных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лиц контрольного (надзорного) органа либо членов их семей.</w:t>
      </w:r>
    </w:p>
    <w:p>
      <w:pPr>
        <w:pStyle w:val="ConsPlusNormal"/>
        <w:spacing w:lineRule="auto" w:line="240"/>
        <w:ind w:left="0" w:right="0" w:firstLine="992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В случае принятия решения о проведении профилактического визита по</w:t>
      </w:r>
      <w:r>
        <w:rPr>
          <w:rFonts w:eastAsia="Times New Roman" w:cs="Times New Roman"/>
          <w:b w:val="false"/>
          <w:sz w:val="28"/>
          <w:highlight w:val="white"/>
          <w:shd w:fill="FFFFFF" w:val="clear"/>
        </w:rPr>
        <w:t xml:space="preserve">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</w:t>
      </w:r>
      <w:r>
        <w:rPr>
          <w:rFonts w:eastAsia="Times New Roman" w:cs="Times New Roman"/>
          <w:b w:val="false"/>
          <w:sz w:val="28"/>
          <w:highlight w:val="white"/>
          <w:shd w:fill="FFFF00" w:val="clear"/>
        </w:rPr>
        <w:t>причинения вреда (ущерба) охраняемым законом ценностям.»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b w:val="false"/>
          <w:sz w:val="28"/>
          <w:highlight w:val="white"/>
          <w:shd w:fill="FFFF00" w:val="clear"/>
        </w:rPr>
        <w:t>3.9.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 уполномоченного органа (далее - доклад о правоприменительной практике).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3.9.1. Доклад о правоприменительной практике готовится уполномоченного органом с периодичностью один раза в год. Уполномоченный орган обеспечивает публичное обсуждение проекта доклада о правоприменительной практике.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3.9.2. Доклад о правоприменительной практике утверждается распоряжением уполномоченного органа в срок до 1 февраля года, следующего за отчетным и размещается на официальном сайте органов местного самоуправления Ровеньского района в сети «Интернет» в срок до 1 марта года, следующего за отчетным.</w:t>
      </w:r>
    </w:p>
    <w:p>
      <w:pPr>
        <w:pStyle w:val="Normal"/>
        <w:spacing w:lineRule="auto" w:line="240"/>
        <w:ind w:left="0" w:right="0" w:firstLine="1134"/>
        <w:jc w:val="both"/>
        <w:rPr>
          <w:rFonts w:ascii="Times New Roman" w:hAnsi="Times New Roman" w:eastAsia="Times New Roman" w:cs="Times New Roman"/>
          <w:b w:val="false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ru-RU"/>
        </w:rPr>
        <w:t>3.9.3. Результаты обобщения правоприменительной практики включаются в ежегодный доклад уполномоченного органа о состоянии муниципального контроля.»</w:t>
      </w:r>
    </w:p>
    <w:p>
      <w:pPr>
        <w:pStyle w:val="Normal"/>
        <w:spacing w:lineRule="auto" w:line="240" w:before="0" w:afterAutospacing="0" w:after="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2. Опубликовать настоящее решение в газете «Ровеньская нива».</w:t>
      </w:r>
    </w:p>
    <w:p>
      <w:pPr>
        <w:pStyle w:val="Normal"/>
        <w:spacing w:lineRule="auto" w:line="240" w:before="0" w:afterAutospacing="0" w:after="0"/>
        <w:ind w:left="0" w:right="0" w:firstLine="1134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>3. Настоящее решение вступает в силу со дня его официального опубликования.</w:t>
      </w:r>
    </w:p>
    <w:p>
      <w:pPr>
        <w:pStyle w:val="Normal"/>
        <w:spacing w:lineRule="auto" w:line="240" w:before="0" w:afterAutospacing="0" w:after="0"/>
        <w:ind w:firstLine="54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spacing w:lineRule="auto" w:line="240" w:before="0" w:afterAutospacing="0" w:after="0"/>
        <w:ind w:firstLine="540"/>
        <w:jc w:val="both"/>
        <w:rPr>
          <w:rFonts w:ascii="Times New Roman" w:hAnsi="Times New Roman" w:eastAsia="Times New Roman" w:cs="Times New Roman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highlight w:val="whit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Председатель Муниципального совета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highlight w:val="white"/>
        </w:rPr>
        <w:t>Ровеньского района                                                           В.А. Некрасов</w:t>
      </w:r>
    </w:p>
    <w:sectPr>
      <w:type w:val="nextPage"/>
      <w:pgSz w:w="11906" w:h="16838"/>
      <w:pgMar w:left="1455" w:right="85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-">
    <w:name w:val="Hyperlink"/>
    <w:uiPriority w:val="99"/>
    <w:unhideWhenUsed/>
    <w:rPr>
      <w:color w:val="000080"/>
      <w:u w:val="single"/>
    </w:rPr>
  </w:style>
  <w:style w:type="character" w:styleId="Style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6">
    <w:name w:val="Footnote Reference"/>
    <w:rPr>
      <w:vertAlign w:val="superscript"/>
    </w:rPr>
  </w:style>
  <w:style w:type="character" w:styleId="Style7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8">
    <w:name w:val="Endnote Reference"/>
    <w:rPr>
      <w:vertAlign w:val="superscript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Style9">
    <w:name w:val="Символ нумерации"/>
    <w:qFormat/>
    <w:rPr/>
  </w:style>
  <w:style w:type="character" w:styleId="Style10">
    <w:name w:val="Выделение жирным"/>
    <w:qFormat/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Droid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4">
    <w:name w:val="Index Heading"/>
    <w:basedOn w:val="Style11"/>
    <w:pPr/>
    <w:rPr/>
  </w:style>
  <w:style w:type="paragraph" w:styleId="Style25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0"/>
      <w:sz w:val="24"/>
      <w:szCs w:val="24"/>
      <w:lang w:val="ru-RU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pacing w:before="0" w:after="89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color w:val="auto"/>
      <w:lang w:val="ru-RU" w:eastAsia="ru-RU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642">
    <w:name w:val="Table Grid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3">
    <w:name w:val="Table Grid Light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4">
    <w:name w:val="Plain Table 1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5">
    <w:name w:val="Plain Table 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46">
    <w:name w:val="Plain Table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47">
    <w:name w:val="Plain Table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48">
    <w:name w:val="Plain Table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49">
    <w:name w:val="Grid Table 1 Light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56">
    <w:name w:val="Grid Table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7">
    <w:name w:val="Grid Table 2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8">
    <w:name w:val="Grid Table 2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59">
    <w:name w:val="Grid Table 2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0">
    <w:name w:val="Grid Table 2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1">
    <w:name w:val="Grid Table 2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2">
    <w:name w:val="Grid Table 2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3">
    <w:name w:val="Grid Table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4">
    <w:name w:val="Grid Table 3 - Accent 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5">
    <w:name w:val="Grid Table 3 - Accent 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6">
    <w:name w:val="Grid Table 3 - Accent 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7">
    <w:name w:val="Grid Table 3 - Accent 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8">
    <w:name w:val="Grid Table 3 - Accent 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69">
    <w:name w:val="Grid Table 3 - Accent 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70">
    <w:name w:val="Grid Table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671">
    <w:name w:val="Grid Table 4 - Accent 1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672">
    <w:name w:val="Grid Table 4 - Accent 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673">
    <w:name w:val="Grid Table 4 - Accent 3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674">
    <w:name w:val="Grid Table 4 - Accent 4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675">
    <w:name w:val="Grid Table 4 - Accent 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676">
    <w:name w:val="Grid Table 4 - Accent 6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677">
    <w:name w:val="Grid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7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684">
    <w:name w:val="Grid Table 6 Colorful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68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68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68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68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68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691">
    <w:name w:val="Grid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8">
    <w:name w:val="List Table 1 Light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List Table 1 Light - Accent 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1 Light - Accent 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List Table 1 Light - Accent 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List Table 1 Light - Accent 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 - Accent 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06">
    <w:name w:val="List Table 2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707">
    <w:name w:val="List Table 2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708">
    <w:name w:val="List Table 2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709">
    <w:name w:val="List Table 2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710">
    <w:name w:val="List Table 2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711">
    <w:name w:val="List Table 2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712">
    <w:name w:val="List Table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3">
    <w:name w:val="List Table 3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4">
    <w:name w:val="List Table 3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5">
    <w:name w:val="List Table 3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6">
    <w:name w:val="List Table 3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7">
    <w:name w:val="List Table 3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8">
    <w:name w:val="List Table 3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19">
    <w:name w:val="List Table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0">
    <w:name w:val="List Table 4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1">
    <w:name w:val="List Table 4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2">
    <w:name w:val="List Table 4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3">
    <w:name w:val="List Table 4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4">
    <w:name w:val="List Table 4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5">
    <w:name w:val="List Table 4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26">
    <w:name w:val="List Table 5 Dark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2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33">
    <w:name w:val="List Table 6 Colorful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3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73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73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73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73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73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740">
    <w:name w:val="List Table 7 Colorful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74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FFFFFF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74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FFFFFF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74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FFFFFF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74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FFFFFF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74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FFFFFF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74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FFFFFF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74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4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5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/>
      </w:tcPr>
    </w:tblStylePr>
    <w:tblStylePr w:type="band2Vert">
      <w:rPr>
        <w:color w:val="404040"/>
        <w:sz w:val="22"/>
      </w:rPr>
      <w:tblPr/>
      <w:tcPr>
        <w:shd w:val="clear" w:color="FFFFFF"/>
      </w:tcPr>
    </w:tblStylePr>
    <w:tblStylePr w:type="firstCol">
      <w:rPr>
        <w:color w:val="F2F2F2"/>
        <w:sz w:val="22"/>
      </w:rPr>
      <w:tblPr/>
      <w:tcPr>
        <w:shd w:val="clear" w:color="FFFFFF"/>
      </w:tcPr>
    </w:tblStylePr>
    <w:tblStylePr w:type="firstRow">
      <w:rPr>
        <w:color w:val="F2F2F2"/>
        <w:sz w:val="22"/>
      </w:rPr>
      <w:tblPr/>
      <w:tcPr>
        <w:shd w:val="clear" w:color="FFFFFF"/>
      </w:tcPr>
    </w:tblStylePr>
    <w:tblStylePr w:type="lastCol">
      <w:rPr>
        <w:color w:val="F2F2F2"/>
        <w:sz w:val="22"/>
      </w:rPr>
      <w:tblPr/>
      <w:tcPr>
        <w:shd w:val="clear" w:color="FFFFFF"/>
      </w:tcPr>
    </w:tblStylePr>
    <w:tblStylePr w:type="lastRow">
      <w:rPr>
        <w:color w:val="F2F2F2"/>
        <w:sz w:val="22"/>
      </w:rPr>
      <w:tblPr/>
      <w:tcPr>
        <w:shd w:val="clear" w:color="FFFFFF"/>
      </w:tcPr>
    </w:tblStylePr>
  </w:style>
  <w:style w:type="table" w:styleId="761">
    <w:name w:val="Bordered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762">
    <w:name w:val="Bordered - Accent 1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763">
    <w:name w:val="Bordered - Accent 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764">
    <w:name w:val="Bordered - Accent 3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765">
    <w:name w:val="Bordered - Accent 4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766">
    <w:name w:val="Bordered - Accent 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767">
    <w:name w:val="Bordered - Accent 6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838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9</Pages>
  <Words>2291</Words>
  <Characters>17244</Characters>
  <CharactersWithSpaces>19607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2021-12-06T08:46:01Z</dcterms:created>
  <dc:creator/>
  <dc:description/>
  <dc:language>ru-RU</dc:language>
  <cp:lastModifiedBy/>
  <dcterms:modified xsi:type="dcterms:W3CDTF">2024-01-30T09:42:23Z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