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ПРОЕКТ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</w:rPr>
      </w:pPr>
      <w:r>
        <w:rPr/>
        <w:drawing>
          <wp:inline distT="0" distB="0" distL="0" distR="0">
            <wp:extent cx="5619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 Е Ш Е Н И Е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10"/>
        <w:rPr/>
      </w:pPr>
      <w:r>
        <w:rPr>
          <w:rFonts w:cs="Times New Roman"/>
          <w:sz w:val="28"/>
          <w:szCs w:val="28"/>
          <w:u w:val="single"/>
        </w:rPr>
        <w:tab/>
        <w:tab/>
        <w:tab/>
      </w:r>
      <w:r>
        <w:rPr>
          <w:rFonts w:cs="Times New Roman"/>
          <w:sz w:val="28"/>
          <w:szCs w:val="28"/>
        </w:rPr>
        <w:t>2023 год</w:t>
        <w:tab/>
        <w:tab/>
        <w:tab/>
        <w:tab/>
        <w:tab/>
        <w:tab/>
        <w:t xml:space="preserve">            № _______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9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rFonts w:eastAsia="Times New Roman" w:cs="Times New Roman"/>
          <w:b/>
          <w:spacing w:val="40"/>
          <w:sz w:val="28"/>
          <w:szCs w:val="28"/>
        </w:rPr>
        <w:t>решил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Внести в Положение о бюджетном процессе в Ровеньском районе, утвержденное решением Совета депутатов Ровеньского района от 14 ноября 2007 года №280 «Об утверждении положения о бюджетном процессе в Ровеньском районе» следующие изменения:</w:t>
      </w:r>
    </w:p>
    <w:p>
      <w:pPr>
        <w:pStyle w:val="ListParagraph"/>
        <w:numPr>
          <w:ilvl w:val="1"/>
          <w:numId w:val="4"/>
        </w:numPr>
        <w:ind w:left="0" w:firstLine="567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Дополнить Положение приложениями 28 и 29 следующего содержания: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«Приложение 28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МЕТОДИКА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РАСПРЕДЕЛЕНИЯ СУБСИДИЙ МЕСТНОГО БЮДЖЕТА РОВЕНЬСКОГО РАЙОНА БЮДЖЕТАМ ГОРОДСКОГО И СЕЛЬСКИХ ПОСЕЛЕНИЙ НА ОРГАНИЗАЦИЮ НАРУЖНОГО ОСВЕЩЕНИЯ НАСЕЛЕННЫХ ПУНКТОВ РОВЕНЬСКОГО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 Объем субсидий из местного бюджета бюджетам городского и сельских поселений на организацию наружного освещения населенных пунктов района за счет средств областного бюджета предусматривается в составе местного бюджета в целях финансирования по муниципальной программе  «Обеспечение доступным и комфортным жильем и коммунальными услугами жителей Ровеньского района».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Объем субсидий бюджету городского, сельского поселения на организацию наружного освещения населенных пунктов района за счет средств областного бюджета рассчитывается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обл</w:t>
      </w:r>
      <w:r>
        <w:rPr>
          <w:rFonts w:eastAsia="Calibri" w:cs="Times New Roman"/>
          <w:sz w:val="28"/>
          <w:szCs w:val="28"/>
          <w:lang w:eastAsia="ru-RU"/>
        </w:rPr>
        <w:t xml:space="preserve"> = (С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+ 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>) x 0,25,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обл</w:t>
      </w:r>
      <w:r>
        <w:rPr>
          <w:rFonts w:eastAsia="Calibri" w:cs="Times New Roman"/>
          <w:sz w:val="28"/>
          <w:szCs w:val="28"/>
          <w:lang w:eastAsia="ru-RU"/>
        </w:rPr>
        <w:t xml:space="preserve"> - размер субсидии муниципальному образованию,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стоимость электроэнергии, потребленной объектами наружного освещения в год,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- цена эксплуатации объектов наружного освещения в год, руб.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Планируемая стоимость электроэнергии, потребленной объектами наружного освещения, 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>= Т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x W,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стоимость электроэнергии, потребленной объектами наружного освещения,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Т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тариф на электроэнергию за 1 кВт.ч, сложившийся в расчетном периоде, руб./кВт.ч;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- общая планируемая годовая потребность в электрической энергии на организацию наружного освещения, кВт.ч.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4. Общая планируемая годовая потребность в электрической энергии на организацию наружного освещения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= 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+ 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= (P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x 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>) / 1000;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= (P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x 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>) / 1000;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- общая планируемая годовая потребность в электрической энергии на организацию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годовая потребность в электрической энергии на организацию наружного освещения, работающего в общем режиме, в соответствии с единым графиком работы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годовая потребность в электрической энергии на организацию наружного освещения, работающего в оптимальном режиме, в соответствии с единым графиком работы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- средняя номинальная мощность лампы в светильнике с учетом потерь в пускорегулирующей аппаратуре, кВт;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количество светильников на начало принятого расчетного периода, работающих в общем режиме,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количество светильников на начало принятого расчетного периода, работающих в оптимальном режиме,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оптимальном режиме;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ночном режиме.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5. Стоимость работ по эксплуатации объектов наружного освещения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= N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x 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обсл</w:t>
      </w:r>
      <w:r>
        <w:rPr>
          <w:rFonts w:eastAsia="Calibri" w:cs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- стоимость работ по эксплуатации объектов наружного освещения,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 - количество светильников,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оптимальном режиме;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обсл</w:t>
      </w:r>
      <w:r>
        <w:rPr>
          <w:rFonts w:eastAsia="Calibri" w:cs="Times New Roman"/>
          <w:sz w:val="28"/>
          <w:szCs w:val="28"/>
          <w:lang w:eastAsia="ru-RU"/>
        </w:rPr>
        <w:t xml:space="preserve"> - цена эксплуатации одного светильника, руб./час.";</w:t>
      </w:r>
    </w:p>
    <w:p>
      <w:pPr>
        <w:pStyle w:val="Normal"/>
        <w:tabs>
          <w:tab w:val="clear" w:pos="709"/>
          <w:tab w:val="left" w:pos="1728" w:leader="none"/>
        </w:tabs>
        <w:suppressAutoHyphens w:val="fals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Приложение 29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МЕТОДИКА РАСПРЕДЕЛЕНИЯ СУБСИДИЙ ИЗ МЕСТНОГО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БЮДЖЕТА БЮДЖЕТАМ ГОРОДСКОГО И СЕЛЬСКИМ ПОСЕЛЕНИЯМ РОВЕНЬСКОГО РАЙОНА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</w:t>
      </w:r>
    </w:p>
    <w:p>
      <w:pPr>
        <w:pStyle w:val="Normal"/>
        <w:widowControl w:val="false"/>
        <w:suppressAutoHyphens w:val="false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1. Объем субсидий из местного бюджета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предусматривается в составе местного бюджета за счет средств областного и местного бюджетов в целях долевого финансирования на очередной финансовый год и плановый период исходя из потребностей бюджетов поселений и возможностей областного и местного бюджетов.</w:t>
      </w:r>
    </w:p>
    <w:p>
      <w:pPr>
        <w:pStyle w:val="Normal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2. Ассигнования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предусматриваются только при условии софинансирования расходов из бюджетов городского, сельских поселений.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Объем субсидии, предоставляемой бюджету городского, сельского поселения на осуществление мероприятия, указанного в пункте 1, определяется по следующей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873125" cy="42418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- размер субсидии в соответствующем году на j-й объект (субсидии за счет средств федерального бюджета (Сfj) и субсидии за счет средств областного бюджета (Сoj), субсидии за счет средств местного бюджета Ровеньского района (С</w:t>
      </w:r>
      <w:r>
        <w:rPr>
          <w:rFonts w:eastAsia="Calibri" w:cs="Times New Roman"/>
          <w:sz w:val="28"/>
          <w:szCs w:val="28"/>
          <w:lang w:val="en-US" w:eastAsia="ru-RU"/>
        </w:rPr>
        <w:t>r</w:t>
      </w:r>
      <w:r>
        <w:rPr>
          <w:rFonts w:eastAsia="Calibri" w:cs="Times New Roman"/>
          <w:sz w:val="28"/>
          <w:szCs w:val="28"/>
          <w:lang w:eastAsia="ru-RU"/>
        </w:rPr>
        <w:t>j).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= ОПj - Смj,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ОПj - общая потребность в средствах, необходимых в соответствующем году на мероприятия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в i-м муниципальном образовании Ровеньского района;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Смj - объем средств бюджета муниципального образования Ровеньского района, предусматриваемых на мер</w:t>
      </w:r>
      <w:bookmarkStart w:id="0" w:name="_GoBack"/>
      <w:bookmarkEnd w:id="0"/>
      <w:r>
        <w:rPr>
          <w:rFonts w:eastAsia="Calibri" w:cs="Times New Roman"/>
          <w:sz w:val="28"/>
          <w:szCs w:val="28"/>
          <w:lang w:eastAsia="ru-RU"/>
        </w:rPr>
        <w:t>оприятия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в i-м муниципальном образовании Ровеньского района.».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 w:eastAsiaTheme="minorHAnsi"/>
          <w:color w:val="000000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 xml:space="preserve">2. </w:t>
      </w:r>
      <w:r>
        <w:rPr>
          <w:rFonts w:eastAsia="Calibri" w:cs="Times New Roman" w:eastAsiaTheme="minorHAnsi"/>
          <w:sz w:val="28"/>
          <w:szCs w:val="28"/>
        </w:rPr>
        <w:t>Настоящее решение вступает в силу с 1 января 2024 года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="Calibri" w:eastAsiaTheme="minorHAnsi"/>
          <w:color w:val="000000" w:themeColor="text1"/>
          <w:sz w:val="28"/>
          <w:szCs w:val="28"/>
        </w:rPr>
        <w:t>Контроль за исполнением настоящ</w:t>
      </w:r>
      <w:r>
        <w:rPr>
          <w:rFonts w:eastAsia="Calibri" w:eastAsiaTheme="minorHAnsi"/>
          <w:color w:val="000000"/>
          <w:sz w:val="28"/>
          <w:szCs w:val="28"/>
        </w:rPr>
        <w:t xml:space="preserve">его решения возложить </w:t>
      </w:r>
      <w:r>
        <w:rPr>
          <w:rFonts w:eastAsia="Calibri" w:eastAsiaTheme="minorHAnsi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Председатель Муниципального совета</w:t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ab/>
        <w:t xml:space="preserve">    Ровеньского района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ab/>
        <w:tab/>
        <w:tab/>
        <w:tab/>
        <w:t xml:space="preserve">                 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В.А. Некрасов</w:t>
      </w:r>
    </w:p>
    <w:sectPr>
      <w:type w:val="nextPage"/>
      <w:pgSz w:w="11906" w:h="16838"/>
      <w:pgMar w:left="1418" w:right="70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bidi="ar-SA" w:val="ru-RU" w:eastAsia="zh-C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-">
    <w:name w:val="Hyperlink"/>
    <w:basedOn w:val="DefaultParagraphFont"/>
    <w:uiPriority w:val="99"/>
    <w:semiHidden/>
    <w:unhideWhenUsed/>
    <w:rsid w:val="004d2ee2"/>
    <w:rPr>
      <w:color w:val="0000FF"/>
      <w:u w:val="single"/>
    </w:rPr>
  </w:style>
  <w:style w:type="character" w:styleId="Style5" w:customStyle="1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6" w:customStyle="1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Оглавление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Style7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character" w:styleId="2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2" w:customStyle="1">
    <w:name w:val="Заголовок №4_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3" w:customStyle="1">
    <w:name w:val="Заголовок №4 + Не полужирный"/>
    <w:basedOn w:val="42"/>
    <w:qFormat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shd w:fill="FFFFFF" w:val="clear"/>
      <w:lang w:val="ru-RU" w:eastAsia="ru-RU" w:bidi="ru-RU"/>
    </w:rPr>
  </w:style>
  <w:style w:type="paragraph" w:styleId="Style9" w:customStyle="1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4" w:customStyle="1">
    <w:name w:val="Верхний и нижний колонтитулы"/>
    <w:basedOn w:val="Normal"/>
    <w:qFormat/>
    <w:pPr/>
    <w:rPr/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7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61" w:customStyle="1">
    <w:name w:val="Заголовок 61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1" w:customStyle="1">
    <w:name w:val="Заголовок 1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1" w:customStyle="1">
    <w:name w:val="Заголовок 31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1" w:customStyle="1">
    <w:name w:val="Заголовок 41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1" w:customStyle="1">
    <w:name w:val="Заголовок 51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3" w:customStyle="1">
    <w:name w:val="Оглавление 2 Знак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512" w:customStyle="1">
    <w:name w:val="Заголовок 5 Знак1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1" w:customStyle="1">
    <w:name w:val="Заголовок 91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Верх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0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/>
    <w:rPr/>
  </w:style>
  <w:style w:type="paragraph" w:styleId="15">
    <w:name w:val="TOC 1"/>
    <w:basedOn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2">
    <w:name w:val="Index Heading"/>
    <w:basedOn w:val="Style9"/>
    <w:pPr/>
    <w:rPr/>
  </w:style>
  <w:style w:type="paragraph" w:styleId="Style23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bidi="ar-SA" w:val="ru-RU" w:eastAsia="zh-CN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bidi="ar-SA" w:val="ru-RU"/>
    </w:rPr>
  </w:style>
  <w:style w:type="paragraph" w:styleId="25" w:customStyle="1">
    <w:name w:val="Основной текст (2)"/>
    <w:basedOn w:val="Normal"/>
    <w:qFormat/>
    <w:pPr>
      <w:widowControl w:val="false"/>
      <w:shd w:val="clear" w:color="auto" w:fill="FFFFFF"/>
      <w:spacing w:lineRule="exact" w:line="322"/>
      <w:jc w:val="right"/>
    </w:pPr>
    <w:rPr>
      <w:rFonts w:eastAsia="Times New Roman" w:cs="Times New Roman"/>
      <w:sz w:val="28"/>
      <w:szCs w:val="28"/>
    </w:rPr>
  </w:style>
  <w:style w:type="paragraph" w:styleId="45" w:customStyle="1">
    <w:name w:val="Заголовок №4"/>
    <w:basedOn w:val="Normal"/>
    <w:qFormat/>
    <w:pPr>
      <w:widowControl w:val="false"/>
      <w:shd w:val="clear" w:color="auto" w:fill="FFFFFF"/>
      <w:spacing w:lineRule="exact" w:line="317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2A2FCD8-08D9-422B-BEE7-D8654F86E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4</Pages>
  <Words>866</Words>
  <Characters>5630</Characters>
  <CharactersWithSpaces>6480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2023-12-21T14:40:00Z</dcterms:created>
  <dc:creator>Елена А. Мягкая</dc:creator>
  <dc:description/>
  <dc:language>ru-RU</dc:language>
  <cp:lastModifiedBy/>
  <cp:lastPrinted>2023-12-22T08:42:19Z</cp:lastPrinted>
  <dcterms:modified xsi:type="dcterms:W3CDTF">2023-12-22T08:42:22Z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