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exact" w:line="302"/>
        <w:ind w:hanging="0"/>
        <w:jc w:val="center"/>
        <w:rPr/>
      </w:pPr>
      <w:r>
        <w:rPr>
          <w:rFonts w:eastAsia="Times New Roman" w:cs="Times New Roman"/>
          <w:b/>
          <w:bCs/>
          <w:spacing w:val="-5"/>
          <w:sz w:val="24"/>
          <w:szCs w:val="24"/>
        </w:rPr>
        <w:t xml:space="preserve">Отчет о реализации плана мероприятий по снижению рисков нарушения антимонопольного </w:t>
      </w:r>
    </w:p>
    <w:p>
      <w:pPr>
        <w:pStyle w:val="Normal"/>
        <w:shd w:val="clear" w:color="auto" w:fill="FFFFFF"/>
        <w:spacing w:lineRule="exact" w:line="302"/>
        <w:ind w:hanging="0"/>
        <w:jc w:val="center"/>
        <w:rPr/>
      </w:pPr>
      <w:r>
        <w:rPr>
          <w:rFonts w:eastAsia="Times New Roman" w:cs="Times New Roman"/>
          <w:b/>
          <w:bCs/>
          <w:spacing w:val="-5"/>
          <w:sz w:val="24"/>
          <w:szCs w:val="24"/>
        </w:rPr>
        <w:t>администрации Ровеньского район</w:t>
      </w:r>
      <w:r>
        <w:rPr>
          <w:rFonts w:eastAsia="Times New Roman"/>
          <w:b/>
          <w:bCs/>
          <w:spacing w:val="-6"/>
          <w:sz w:val="24"/>
          <w:szCs w:val="24"/>
        </w:rPr>
        <w:t xml:space="preserve">а </w:t>
      </w:r>
      <w:r>
        <w:rPr>
          <w:rFonts w:eastAsia="Times New Roman" w:cs="Times New Roman"/>
          <w:b/>
          <w:bCs/>
          <w:spacing w:val="-5"/>
          <w:sz w:val="24"/>
          <w:szCs w:val="24"/>
        </w:rPr>
        <w:t>за 2021 год</w:t>
      </w:r>
    </w:p>
    <w:p>
      <w:pPr>
        <w:pStyle w:val="Normal"/>
        <w:shd w:val="clear" w:color="auto" w:fill="FFFFFF"/>
        <w:spacing w:lineRule="exact" w:line="302" w:before="5" w:after="0"/>
        <w:ind w:left="120" w:hanging="0"/>
        <w:jc w:val="center"/>
        <w:rPr>
          <w:rFonts w:ascii="Times New Roman" w:hAnsi="Times New Roman" w:eastAsia="Times New Roman" w:cs="Times New Roman"/>
          <w:spacing w:val="-5"/>
          <w:sz w:val="22"/>
          <w:szCs w:val="22"/>
        </w:rPr>
      </w:pPr>
      <w:r>
        <w:rPr>
          <w:rFonts w:eastAsia="Times New Roman" w:cs="Times New Roman"/>
          <w:spacing w:val="-5"/>
          <w:sz w:val="22"/>
          <w:szCs w:val="22"/>
        </w:rPr>
      </w:r>
    </w:p>
    <w:p>
      <w:pPr>
        <w:pStyle w:val="Normal"/>
        <w:spacing w:lineRule="exact" w:line="1" w:before="0" w:after="283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headerReference w:type="default" r:id="rId2"/>
          <w:type w:val="nextPage"/>
          <w:pgSz w:orient="landscape" w:w="16838" w:h="11906"/>
          <w:pgMar w:left="1195" w:right="1195" w:header="703" w:top="1953" w:footer="0" w:bottom="720" w:gutter="0"/>
          <w:pgNumType w:fmt="decimal"/>
          <w:formProt w:val="false"/>
          <w:textDirection w:val="lrTb"/>
          <w:docGrid w:type="default" w:linePitch="100" w:charSpace="0"/>
        </w:sectPr>
      </w:pPr>
    </w:p>
    <w:tbl>
      <w:tblPr>
        <w:tblW w:w="14304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649"/>
        <w:gridCol w:w="3692"/>
        <w:gridCol w:w="6913"/>
        <w:gridCol w:w="3049"/>
      </w:tblGrid>
      <w:tr>
        <w:trPr>
          <w:trHeight w:val="1344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1"/>
              <w:ind w:left="106" w:right="67" w:firstLine="29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6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518" w:right="518" w:hanging="0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Результат мероприятия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125" w:right="158" w:hanging="0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района, ответственное за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минимизации и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 рисков</w:t>
            </w:r>
          </w:p>
        </w:tc>
      </w:tr>
      <w:tr>
        <w:trPr>
          <w:trHeight w:val="230" w:hRule="exact"/>
        </w:trPr>
        <w:tc>
          <w:tcPr>
            <w:tcW w:w="14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323" w:hanging="0"/>
              <w:rPr/>
            </w:pPr>
            <w:r>
              <w:rPr>
                <w:b/>
                <w:bCs/>
                <w:spacing w:val="-5"/>
              </w:rPr>
              <w:t xml:space="preserve">1.    </w:t>
            </w:r>
            <w:r>
              <w:rPr>
                <w:rFonts w:eastAsia="Times New Roman"/>
                <w:b/>
                <w:bCs/>
                <w:spacing w:val="-5"/>
              </w:rPr>
              <w:t>Общие мероприятия по минимизации и устранению комплаенс-рисков администрации Ровеньского района</w:t>
            </w:r>
          </w:p>
        </w:tc>
      </w:tr>
      <w:tr>
        <w:trPr>
          <w:trHeight w:val="2621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1.1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Все комплаенс-риски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fill="FFFFFF"/>
              <w:rPr/>
            </w:pPr>
            <w:r>
              <w:rPr>
                <w:rFonts w:eastAsia="Times New Roman"/>
                <w:spacing w:val="-1"/>
              </w:rPr>
              <w:t xml:space="preserve">Руководители  и сотрудники  администрации </w:t>
            </w:r>
            <w:r>
              <w:rPr>
                <w:rFonts w:eastAsia="Times New Roman"/>
                <w:spacing w:val="-2"/>
              </w:rPr>
              <w:t xml:space="preserve">Ровеньского    района ознакомлены с    муниципальными    нормативными </w:t>
            </w:r>
            <w:r>
              <w:rPr>
                <w:rFonts w:eastAsia="Times New Roman"/>
                <w:spacing w:val="-1"/>
              </w:rPr>
              <w:t xml:space="preserve">правовыми актами, регулирующими              вопросы              функционирования  </w:t>
            </w:r>
            <w:r>
              <w:rPr>
                <w:rFonts w:eastAsia="Times New Roman"/>
                <w:spacing w:val="-2"/>
              </w:rPr>
              <w:t xml:space="preserve">антимонопольного        комплаенса        в        администрации </w:t>
            </w:r>
            <w:r>
              <w:rPr>
                <w:rFonts w:eastAsia="Times New Roman"/>
              </w:rPr>
              <w:t>Ровеньского района</w:t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2828" w:hRule="exact"/>
        </w:trPr>
        <w:tc>
          <w:tcPr>
            <w:tcW w:w="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1.2</w:t>
            </w:r>
          </w:p>
        </w:tc>
        <w:tc>
          <w:tcPr>
            <w:tcW w:w="3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 w:val="false"/>
                <w:b w:val="false"/>
                <w:bCs w:val="false"/>
              </w:rPr>
            </w:pPr>
            <w:r>
              <w:rPr>
                <w:rFonts w:eastAsia="Times New Roman"/>
                <w:b w:val="false"/>
                <w:bCs w:val="false"/>
              </w:rPr>
              <w:t>Все комплаенс-риски</w:t>
            </w:r>
          </w:p>
        </w:tc>
        <w:tc>
          <w:tcPr>
            <w:tcW w:w="6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Доля сотрудников администрации и  структурных подразделений администрации Ровеньского района, прошедших обучение составляет 100%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</w:tc>
        <w:tc>
          <w:tcPr>
            <w:tcW w:w="3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43" w:hanging="0"/>
              <w:jc w:val="center"/>
              <w:rPr/>
            </w:pPr>
            <w:r>
              <w:rPr>
                <w:rFonts w:eastAsia="Times New Roman"/>
                <w:spacing w:val="-1"/>
              </w:rPr>
              <w:t>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95" w:right="1195" w:header="703" w:top="1953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ind w:hanging="0"/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type w:val="continuous"/>
          <w:pgSz w:orient="landscape" w:w="16838" w:h="11906"/>
          <w:pgMar w:left="1195" w:right="1195" w:header="703" w:top="1953" w:footer="0" w:bottom="720" w:gutter="0"/>
          <w:formProt w:val="false"/>
          <w:textDirection w:val="lrTb"/>
          <w:docGrid w:type="default" w:linePitch="100" w:charSpace="0"/>
        </w:sectPr>
      </w:pPr>
    </w:p>
    <w:tbl>
      <w:tblPr>
        <w:tblW w:w="1433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671"/>
        <w:gridCol w:w="3690"/>
        <w:gridCol w:w="6921"/>
        <w:gridCol w:w="3055"/>
      </w:tblGrid>
      <w:tr>
        <w:trPr>
          <w:trHeight w:val="1306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ind w:left="110" w:right="62" w:firstLine="38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7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528" w:right="509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30" w:right="130" w:firstLine="34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>выполнение мероприятий по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  <w:spacing w:val="-6"/>
              </w:rPr>
              <w:t>минимизации и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30" w:hanging="0"/>
              <w:rPr/>
            </w:pPr>
            <w:r>
              <w:rPr>
                <w:rFonts w:eastAsia="Times New Roman"/>
                <w:b/>
                <w:bCs/>
              </w:rPr>
              <w:t>комплаенс рисков</w:t>
            </w:r>
          </w:p>
        </w:tc>
      </w:tr>
      <w:tr>
        <w:trPr>
          <w:trHeight w:val="1978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8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1.3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106"/>
              <w:rPr/>
            </w:pPr>
            <w:r>
              <w:rPr>
                <w:rFonts w:eastAsia="Times New Roman"/>
                <w:color w:val="000000"/>
                <w:spacing w:val="-2"/>
              </w:rPr>
              <w:t xml:space="preserve">Внесены    изменения     в     положения     о     структурных подразделениях      администрации      Ровеньского      района, должностные      инструкции            сотрудников </w:t>
            </w:r>
            <w:r>
              <w:rPr>
                <w:rFonts w:eastAsia="Times New Roman"/>
                <w:color w:val="000000"/>
                <w:spacing w:val="-1"/>
              </w:rPr>
              <w:t xml:space="preserve">администрации  Ровеньского  района,   в  части  обеспечения </w:t>
            </w:r>
            <w:r>
              <w:rPr>
                <w:rFonts w:eastAsia="Times New Roman"/>
                <w:color w:val="000000"/>
                <w:spacing w:val="-3"/>
              </w:rPr>
              <w:t xml:space="preserve">организаций      и      функционирования      антимонопольного </w:t>
            </w:r>
            <w:r>
              <w:rPr>
                <w:rFonts w:eastAsia="Times New Roman"/>
                <w:color w:val="000000"/>
                <w:spacing w:val="-2"/>
              </w:rPr>
              <w:t xml:space="preserve">комплаенса,     включения     знаний     основных    положений </w:t>
            </w:r>
            <w:r>
              <w:rPr>
                <w:rFonts w:eastAsia="Times New Roman"/>
                <w:color w:val="000000"/>
                <w:spacing w:val="-3"/>
              </w:rPr>
              <w:t xml:space="preserve">антимонопольного законодательства Российской Федерации в </w:t>
            </w:r>
            <w:r>
              <w:rPr>
                <w:rFonts w:eastAsia="Times New Roman"/>
                <w:color w:val="000000"/>
                <w:spacing w:val="-4"/>
              </w:rPr>
              <w:t xml:space="preserve">перечень требований к профессиональным знаниям и навыкам </w:t>
            </w:r>
            <w:r>
              <w:rPr>
                <w:rFonts w:eastAsia="Times New Roman"/>
                <w:color w:val="000000"/>
              </w:rPr>
              <w:t>по предметной области деятельности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320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1.4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>Нарушений        антимонопольного законодательства   администрации   Ровеньского   района   за предыдущие    3    года</w:t>
            </w:r>
            <w:r>
              <w:rPr>
                <w:rFonts w:eastAsia="Times New Roman"/>
                <w:color w:val="000000"/>
                <w:spacing w:val="-3"/>
              </w:rPr>
              <w:t xml:space="preserve"> в отношении администрации Ровеньского района не имеется.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1"/>
              </w:rPr>
              <w:t>района</w:t>
            </w:r>
          </w:p>
        </w:tc>
      </w:tr>
      <w:tr>
        <w:trPr>
          <w:trHeight w:val="2068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4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1.5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Информация о выявленных нарушениях в деятельности органов исполнительной власти и местного самоуправления области  в 2021  году в целях предупреждения допущения подобных нарушений антимонопольного законодательства доведена до сведения членов комиссии по проведению внутреннего расследования,                                связанного с функционирования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Ровеньского района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rFonts w:ascii="Times New Roman" w:hAnsi="Times New Roman"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ованием антимонопольного комплаенса в  администрации Ровеньского района и работников уполномоченных подразделений, ответственных за функционирование системы внутреннего обеспечения соответствия требованиям антимонопольного законодательства деятельности администрации Ровеньского района.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1"/>
              </w:rPr>
              <w:t>района</w:t>
            </w:r>
          </w:p>
        </w:tc>
      </w:tr>
      <w:tr>
        <w:trPr>
          <w:trHeight w:val="1591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1.6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10" w:firstLine="5"/>
              <w:rPr/>
            </w:pPr>
            <w:r>
              <w:rPr>
                <w:rFonts w:eastAsia="Times New Roman"/>
                <w:spacing w:val="-1"/>
              </w:rPr>
              <w:t xml:space="preserve">При подготовке проектов НПА  сотрудники  администрации Ровеньского </w:t>
            </w:r>
            <w:r>
              <w:rPr>
                <w:rFonts w:eastAsia="Times New Roman"/>
                <w:spacing w:val="-2"/>
              </w:rPr>
              <w:t xml:space="preserve">района      получают необходимую информацию по      вопросам,      связанным      с      соблюдением  антимонопольного      законодательства      и      применением антимонопольного комплаенса в 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38" w:firstLine="43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2"/>
              </w:rPr>
              <w:t>района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38" w:firstLine="43"/>
              <w:rPr>
                <w:rFonts w:eastAsia="Times New Roman"/>
                <w:spacing w:val="-2"/>
              </w:rPr>
            </w:pPr>
            <w:r>
              <w:rPr>
                <w:rFonts w:eastAsia="Times New Roman"/>
                <w:spacing w:val="-2"/>
              </w:rPr>
            </w:r>
          </w:p>
        </w:tc>
      </w:tr>
      <w:tr>
        <w:trPr>
          <w:trHeight w:val="1325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4" w:hanging="0"/>
              <w:rPr/>
            </w:pPr>
            <w:r>
              <w:rPr/>
              <w:t>1.7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1"/>
              <w:rPr/>
            </w:pPr>
            <w:r>
              <w:rPr>
                <w:rFonts w:eastAsia="Times New Roman"/>
                <w:color w:val="000000"/>
              </w:rPr>
              <w:t xml:space="preserve">В соответствии с распоряжением администрации Ровеньского района №584 от 28.06.2019г. «Об организации системы внутреннего обеспечения соответствия требованиям антимонопольного законодательства деятельности  администрации Ровеньского района»  проект </w:t>
            </w:r>
            <w:r>
              <w:rPr>
                <w:rFonts w:eastAsia="Times New Roman"/>
                <w:color w:val="000000"/>
                <w:spacing w:val="-2"/>
              </w:rPr>
              <w:t xml:space="preserve">ежегодного доклада об </w:t>
            </w:r>
            <w:r>
              <w:rPr>
                <w:rFonts w:eastAsia="Times New Roman"/>
                <w:color w:val="000000"/>
                <w:spacing w:val="-3"/>
              </w:rPr>
              <w:t>антимонопольном   комплаенсе будет подготовлен и в срок до 07.</w:t>
            </w: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10</w:t>
            </w:r>
            <w:r>
              <w:rPr>
                <w:rFonts w:eastAsia="Times New Roman"/>
                <w:color w:val="000000"/>
                <w:spacing w:val="-3"/>
              </w:rPr>
              <w:t>.2021г. 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1"/>
              <w:rPr/>
            </w:pPr>
            <w:r>
              <w:rPr>
                <w:rFonts w:eastAsia="Times New Roman"/>
                <w:color w:val="000000"/>
                <w:spacing w:val="-3"/>
              </w:rPr>
              <w:t xml:space="preserve"> </w:t>
            </w:r>
            <w:r>
              <w:rPr>
                <w:rFonts w:eastAsia="Times New Roman"/>
                <w:color w:val="000000"/>
                <w:spacing w:val="-3"/>
              </w:rPr>
              <w:t>размещен на официальном сайте Ровеньского района rovenkiadm.ru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21"/>
              <w:rPr>
                <w:rFonts w:eastAsia="Times New Roman"/>
                <w:color w:val="000000"/>
                <w:spacing w:val="-3"/>
              </w:rPr>
            </w:pPr>
            <w:r>
              <w:rPr>
                <w:rFonts w:eastAsia="Times New Roman"/>
                <w:color w:val="000000"/>
                <w:spacing w:val="-3"/>
              </w:rPr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43" w:firstLine="5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757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34" w:hanging="0"/>
              <w:rPr/>
            </w:pPr>
            <w:r>
              <w:rPr/>
              <w:t>1.8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>
                <w:rFonts w:eastAsia="Times New Roman"/>
              </w:rPr>
              <w:t>Все комплаенс-риски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1"/>
              <w:ind w:firstLine="5"/>
              <w:rPr/>
            </w:pPr>
            <w:r>
              <w:rPr>
                <w:rFonts w:eastAsia="Times New Roman"/>
                <w:spacing w:val="-2"/>
              </w:rPr>
              <w:t xml:space="preserve">Утверждение </w:t>
            </w:r>
            <w:r>
              <w:rPr>
                <w:rFonts w:eastAsia="Times New Roman"/>
                <w:spacing w:val="-1"/>
              </w:rPr>
              <w:t xml:space="preserve">Координационным советом  при  </w:t>
            </w:r>
            <w:r>
              <w:rPr>
                <w:rFonts w:eastAsia="Times New Roman"/>
                <w:spacing w:val="-2"/>
              </w:rPr>
              <w:t xml:space="preserve">главе администрации района по </w:t>
            </w:r>
            <w:r>
              <w:rPr>
                <w:rFonts w:eastAsia="Times New Roman"/>
                <w:spacing w:val="-3"/>
              </w:rPr>
              <w:t xml:space="preserve">защите интересов     субъектов </w:t>
            </w:r>
            <w:r>
              <w:rPr>
                <w:rFonts w:eastAsia="Times New Roman"/>
                <w:spacing w:val="-1"/>
              </w:rPr>
              <w:t xml:space="preserve">малого и среднего </w:t>
            </w:r>
            <w:r>
              <w:rPr>
                <w:rFonts w:eastAsia="Times New Roman"/>
                <w:spacing w:val="-3"/>
              </w:rPr>
              <w:t xml:space="preserve">предпринимательства,  развитию </w:t>
            </w:r>
            <w:r>
              <w:rPr>
                <w:rFonts w:eastAsia="Times New Roman"/>
                <w:spacing w:val="-2"/>
              </w:rPr>
              <w:t xml:space="preserve">конкуренции  и     и улучшению инвестиционного климата </w:t>
            </w:r>
            <w:bookmarkStart w:id="0" w:name="__DdeLink__1244_4216549841"/>
            <w:r>
              <w:rPr>
                <w:rFonts w:eastAsia="Times New Roman"/>
                <w:spacing w:val="-2"/>
              </w:rPr>
              <w:t xml:space="preserve">ежегодного доклада об </w:t>
            </w:r>
            <w:r>
              <w:rPr>
                <w:rFonts w:eastAsia="Times New Roman"/>
                <w:spacing w:val="-3"/>
              </w:rPr>
              <w:t xml:space="preserve">антимонопольном   комплаенсе </w:t>
            </w:r>
            <w:bookmarkEnd w:id="0"/>
            <w:r>
              <w:rPr>
                <w:rFonts w:eastAsia="Times New Roman"/>
                <w:spacing w:val="-3"/>
              </w:rPr>
              <w:t xml:space="preserve">  администрации  Ровеньского </w:t>
            </w:r>
            <w:r>
              <w:rPr>
                <w:rFonts w:eastAsia="Times New Roman"/>
              </w:rPr>
              <w:t>района в срок до 10.02.2021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48" w:hanging="0"/>
              <w:rPr/>
            </w:pPr>
            <w:r>
              <w:rPr>
                <w:rFonts w:eastAsia="Times New Roman"/>
                <w:spacing w:val="-1"/>
              </w:rPr>
              <w:t xml:space="preserve">Координационный    совет    при </w:t>
            </w:r>
            <w:r>
              <w:rPr>
                <w:rFonts w:eastAsia="Times New Roman"/>
              </w:rPr>
              <w:t xml:space="preserve">главе администрации района по </w:t>
            </w:r>
            <w:r>
              <w:rPr>
                <w:rFonts w:eastAsia="Times New Roman"/>
                <w:spacing w:val="-3"/>
              </w:rPr>
              <w:t xml:space="preserve">защите     интересов     субъектов </w:t>
            </w:r>
            <w:r>
              <w:rPr>
                <w:rFonts w:eastAsia="Times New Roman"/>
                <w:spacing w:val="-1"/>
              </w:rPr>
              <w:t xml:space="preserve">малого             и             среднего </w:t>
            </w:r>
            <w:r>
              <w:rPr>
                <w:rFonts w:eastAsia="Times New Roman"/>
                <w:spacing w:val="-3"/>
              </w:rPr>
              <w:t xml:space="preserve">предпринимательства,  развитию </w:t>
            </w:r>
            <w:r>
              <w:rPr>
                <w:rFonts w:eastAsia="Times New Roman"/>
              </w:rPr>
              <w:t>конкуренции  и     и улучшению инвестиционного климата</w:t>
            </w:r>
          </w:p>
        </w:tc>
      </w:tr>
      <w:tr>
        <w:trPr>
          <w:trHeight w:val="1320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/>
            </w:pPr>
            <w:r>
              <w:rPr/>
              <w:t>1.9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120" w:firstLine="53"/>
              <w:rPr>
                <w:rFonts w:ascii="Times New Roman" w:hAnsi="Times New Roman"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>Риски согласно пунктам 1 и 2 карты рисков нарушения антимонопольного законодательства   •        администрации Ровеньского района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firstLine="5"/>
              <w:jc w:val="both"/>
              <w:rPr>
                <w:rFonts w:ascii="Times New Roman" w:hAnsi="Times New Roman"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>Подготовка и утверждение административных регламентов осуществляется в соответствии с распоряжением администрации Ровеньского района №47 от 13.02.2019г. «Об утверждении порядка разработки и утверждения административных регламентов предоставления муниципальных услуг администрацией Ровеньского  района»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color w:val="000000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color w:val="000000"/>
                <w:spacing w:val="-1"/>
              </w:rPr>
              <w:t>района</w:t>
            </w:r>
          </w:p>
        </w:tc>
      </w:tr>
      <w:tr>
        <w:trPr>
          <w:trHeight w:val="1375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29" w:hanging="0"/>
              <w:rPr>
                <w:rFonts w:eastAsia="Times New Roman"/>
                <w:spacing w:val="-6"/>
              </w:rPr>
            </w:pPr>
            <w:r>
              <w:rPr/>
              <w:t>1.10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ind w:left="29" w:hanging="0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120" w:firstLine="53"/>
              <w:rPr>
                <w:rFonts w:ascii="Times New Roman" w:hAnsi="Times New Roman"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kern w:val="0"/>
                <w:sz w:val="20"/>
                <w:szCs w:val="20"/>
                <w:lang w:val="ru-RU" w:eastAsia="ru-RU" w:bidi="ar-SA"/>
              </w:rPr>
              <w:t>Риски согласно пунктам 3-7 карты рисков нарушения антимонопольного законодательства            администрации Ровеньского района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jc w:val="both"/>
              <w:rPr>
                <w:color w:val="000000"/>
              </w:rPr>
            </w:pPr>
            <w:r>
              <w:rPr>
                <w:rFonts w:eastAsia="Times New Roman" w:cs="Times New Roman"/>
                <w:color w:val="000000"/>
                <w:spacing w:val="-4"/>
                <w:kern w:val="0"/>
                <w:sz w:val="20"/>
                <w:szCs w:val="20"/>
                <w:lang w:val="ru-RU" w:eastAsia="ru-RU" w:bidi="ar-SA"/>
              </w:rPr>
              <w:t>Случаев конфликта    интересов    в    деятельности администрации   Ровеньского   района    и   ее   сотрудников, связанного      с  функционированием      антимонопольного  комплаенса за отчетный период на имелось.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62" w:hanging="0"/>
              <w:jc w:val="center"/>
              <w:rPr/>
            </w:pPr>
            <w:r>
              <w:rPr>
                <w:rFonts w:eastAsia="Times New Roman"/>
                <w:color w:val="000000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color w:val="000000"/>
              </w:rPr>
              <w:t>района</w:t>
            </w:r>
          </w:p>
        </w:tc>
      </w:tr>
      <w:tr>
        <w:trPr>
          <w:trHeight w:val="230" w:hRule="exact"/>
        </w:trPr>
        <w:tc>
          <w:tcPr>
            <w:tcW w:w="143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758" w:hanging="0"/>
              <w:rPr/>
            </w:pPr>
            <w:r>
              <w:rPr/>
              <w:t xml:space="preserve">2.    </w:t>
            </w:r>
            <w:r>
              <w:rPr>
                <w:rFonts w:eastAsia="Times New Roman"/>
              </w:rPr>
              <w:t>Мероприятия по минимизации и устранению комплаенс-рисков, включенных в карту рисков нарушения антимонопольного законодательства</w:t>
            </w:r>
          </w:p>
        </w:tc>
      </w:tr>
      <w:tr>
        <w:trPr>
          <w:trHeight w:val="902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>2.1</w:t>
            </w:r>
          </w:p>
        </w:tc>
        <w:tc>
          <w:tcPr>
            <w:tcW w:w="3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5" w:hanging="0"/>
              <w:rPr/>
            </w:pPr>
            <w:r>
              <w:rPr>
                <w:rFonts w:eastAsia="Times New Roman"/>
              </w:rPr>
              <w:t xml:space="preserve">Риск     наличия в           действующих </w:t>
            </w:r>
            <w:r>
              <w:rPr>
                <w:rFonts w:eastAsia="Times New Roman"/>
                <w:spacing w:val="-1"/>
              </w:rPr>
              <w:t xml:space="preserve">муниципальных нормативных правовых </w:t>
            </w:r>
            <w:r>
              <w:rPr>
                <w:rFonts w:eastAsia="Times New Roman"/>
                <w:spacing w:val="-4"/>
              </w:rPr>
              <w:t xml:space="preserve">актах администрации Ровеньского района </w:t>
            </w:r>
            <w:r>
              <w:rPr>
                <w:rFonts w:eastAsia="Times New Roman"/>
              </w:rPr>
              <w:t>положений, которые приводят и    или)</w:t>
            </w:r>
          </w:p>
        </w:tc>
        <w:tc>
          <w:tcPr>
            <w:tcW w:w="6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48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3"/>
              </w:rPr>
              <w:t>В период с 01.06.20</w:t>
            </w: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eastAsia="Times New Roman"/>
                <w:color w:val="000000"/>
                <w:spacing w:val="-3"/>
              </w:rPr>
              <w:t xml:space="preserve"> по 01.</w:t>
            </w: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09</w:t>
            </w:r>
            <w:r>
              <w:rPr>
                <w:rFonts w:eastAsia="Times New Roman"/>
                <w:color w:val="000000"/>
                <w:spacing w:val="-3"/>
              </w:rPr>
              <w:t>.20</w:t>
            </w:r>
            <w:r>
              <w:rPr>
                <w:rFonts w:eastAsia="Times New Roman" w:cs="Times New Roman"/>
                <w:color w:val="000000"/>
                <w:spacing w:val="-3"/>
                <w:kern w:val="0"/>
                <w:sz w:val="20"/>
                <w:szCs w:val="20"/>
                <w:lang w:val="ru-RU" w:eastAsia="ru-RU" w:bidi="ar-SA"/>
              </w:rPr>
              <w:t>21</w:t>
            </w:r>
            <w:r>
              <w:rPr>
                <w:rFonts w:eastAsia="Times New Roman"/>
                <w:color w:val="000000"/>
                <w:spacing w:val="-3"/>
              </w:rPr>
              <w:t xml:space="preserve"> проведен     анализ      действующих       муниципальных </w:t>
            </w:r>
            <w:r>
              <w:rPr>
                <w:rFonts w:eastAsia="Times New Roman"/>
                <w:color w:val="000000"/>
                <w:spacing w:val="-2"/>
              </w:rPr>
              <w:t xml:space="preserve">нормативных  правовых  актов   администрации  Ровеньского </w:t>
            </w:r>
            <w:r>
              <w:rPr>
                <w:rFonts w:eastAsia="Times New Roman"/>
                <w:color w:val="000000"/>
              </w:rPr>
              <w:t xml:space="preserve">района     на     предмет     выявления     рисков     нарушения </w:t>
            </w:r>
            <w:r>
              <w:rPr>
                <w:rFonts w:eastAsia="Times New Roman"/>
                <w:color w:val="000000"/>
                <w:spacing w:val="-3"/>
              </w:rPr>
              <w:t>антимонопольного законодательства при участии организаций</w:t>
            </w:r>
          </w:p>
        </w:tc>
        <w:tc>
          <w:tcPr>
            <w:tcW w:w="30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администрации Ровеньского 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continuous"/>
          <w:pgSz w:orient="landscape" w:w="16838" w:h="11906"/>
          <w:pgMar w:left="1195" w:right="1195" w:header="703" w:top="1953" w:footer="0" w:bottom="720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ind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exact" w:line="1" w:before="0" w:after="202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309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671"/>
        <w:gridCol w:w="3680"/>
        <w:gridCol w:w="6904"/>
        <w:gridCol w:w="3"/>
        <w:gridCol w:w="3050"/>
      </w:tblGrid>
      <w:tr>
        <w:trPr>
          <w:trHeight w:val="1310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120" w:right="62" w:firstLine="38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68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6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533" w:right="509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right="139" w:firstLine="29"/>
              <w:rPr/>
            </w:pPr>
            <w:r>
              <w:rPr>
                <w:rFonts w:eastAsia="Times New Roman"/>
                <w:b/>
                <w:bCs/>
                <w:spacing w:val="-5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района, ответственное за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  <w:spacing w:val="-7"/>
              </w:rPr>
              <w:t>минимизации и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hanging="0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874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firstLine="5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могут     привести      к     недопущению, </w:t>
            </w:r>
            <w:r>
              <w:rPr>
                <w:rFonts w:eastAsia="Times New Roman"/>
                <w:color w:val="000000"/>
                <w:spacing w:val="-1"/>
              </w:rPr>
              <w:t xml:space="preserve">ограничению          или          устранению </w:t>
            </w:r>
            <w:r>
              <w:rPr>
                <w:rFonts w:eastAsia="Times New Roman"/>
                <w:color w:val="000000"/>
              </w:rPr>
              <w:t>конкуренции на рынках товаров, работ, услуг Ровеньского района</w:t>
            </w:r>
          </w:p>
        </w:tc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и      граждан      (публичные      консультации      посредством </w:t>
            </w:r>
            <w:r>
              <w:rPr>
                <w:rFonts w:eastAsia="Times New Roman"/>
                <w:color w:val="000000"/>
                <w:spacing w:val="-3"/>
              </w:rPr>
              <w:t xml:space="preserve">официального    сайта    органов    местного    самоуправления </w:t>
            </w:r>
            <w:r>
              <w:rPr>
                <w:rFonts w:eastAsia="Times New Roman"/>
                <w:color w:val="000000"/>
              </w:rPr>
              <w:t>муниципального района «Ровеньский района» Белгородской области)http://www.rovenkiadm.ru/deyatelnost/antimonopolnyj-komplaens/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466" w:firstLine="5"/>
              <w:rPr>
                <w:rFonts w:eastAsia="Times New Roman"/>
              </w:rPr>
            </w:pPr>
            <w:r>
              <w:rPr>
                <w:rFonts w:eastAsia="Times New Roman"/>
              </w:rPr>
            </w:r>
          </w:p>
        </w:tc>
      </w:tr>
      <w:tr>
        <w:trPr>
          <w:trHeight w:val="1766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9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2.2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1"/>
              <w:ind w:firstLine="10"/>
              <w:rPr/>
            </w:pPr>
            <w:r>
              <w:rPr>
                <w:rFonts w:eastAsia="Times New Roman"/>
              </w:rPr>
              <w:t xml:space="preserve">Риск     наличия в           проектах </w:t>
            </w:r>
            <w:r>
              <w:rPr>
                <w:rFonts w:eastAsia="Times New Roman"/>
                <w:spacing w:val="-2"/>
              </w:rPr>
              <w:t xml:space="preserve">муниципальных нормативных правовых </w:t>
            </w:r>
            <w:r>
              <w:rPr>
                <w:rFonts w:eastAsia="Times New Roman"/>
                <w:spacing w:val="-4"/>
              </w:rPr>
              <w:t xml:space="preserve">актах администрации Ровеньского района </w:t>
            </w:r>
            <w:r>
              <w:rPr>
                <w:rFonts w:eastAsia="Times New Roman"/>
              </w:rPr>
              <w:t>положений,  которые приводят и (или) могут     привести     к     недопущению, ограничению     или       устранению конкуренции на рынках товаров, работ, услуг Ровеньского района</w:t>
            </w:r>
          </w:p>
        </w:tc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Экспертиза и анализ проектов муниципальных </w:t>
            </w:r>
            <w:r>
              <w:rPr>
                <w:rFonts w:eastAsia="Times New Roman"/>
                <w:color w:val="000000"/>
                <w:spacing w:val="-3"/>
              </w:rPr>
              <w:t xml:space="preserve">нормативных   правовых  актов   администрации  Ровеньского </w:t>
            </w:r>
            <w:r>
              <w:rPr>
                <w:rFonts w:eastAsia="Times New Roman"/>
                <w:color w:val="000000"/>
              </w:rPr>
              <w:t xml:space="preserve">района     на     предмет     выявления     рисков     нарушения </w:t>
            </w:r>
            <w:r>
              <w:rPr>
                <w:rFonts w:eastAsia="Times New Roman"/>
                <w:color w:val="000000"/>
                <w:spacing w:val="-4"/>
              </w:rPr>
              <w:t xml:space="preserve">антимонопольного законодательства при участии организаций </w:t>
            </w:r>
            <w:r>
              <w:rPr>
                <w:rFonts w:eastAsia="Times New Roman"/>
                <w:color w:val="000000"/>
              </w:rPr>
              <w:t>и     граждан осуществляется в соответствии с распоряжением администрации Ровеньского района №796 от 29.08.2019г. «Об утверждении методических рекомендаций по осуществлению анализа муниципальных правовых актов администрации Ровеньского района на предмет выявления рисков нарушения антимонопольного законодательства»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2184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5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2.3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77" w:hanging="0"/>
              <w:rPr/>
            </w:pPr>
            <w:r>
              <w:rPr>
                <w:rFonts w:eastAsia="Times New Roman"/>
                <w:spacing w:val="-2"/>
              </w:rPr>
              <w:t xml:space="preserve">Риск     нарушения         (несоблюдения) </w:t>
            </w:r>
            <w:r>
              <w:rPr>
                <w:rFonts w:eastAsia="Times New Roman"/>
                <w:spacing w:val="-4"/>
              </w:rPr>
              <w:t xml:space="preserve">антимонопольного законодательства при предоставлении        муниципальной </w:t>
            </w:r>
            <w:r>
              <w:rPr>
                <w:rFonts w:eastAsia="Times New Roman"/>
              </w:rPr>
              <w:t xml:space="preserve">поддержки        (финансовой, </w:t>
            </w:r>
            <w:r>
              <w:rPr>
                <w:rFonts w:eastAsia="Times New Roman"/>
                <w:spacing w:val="-4"/>
              </w:rPr>
              <w:t>имущественной, консультационной)</w:t>
            </w:r>
          </w:p>
        </w:tc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48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По итогам анализа  практики применения действующих муниципальных нормативных   правовых   актов,   определяющих  порядок   и </w:t>
            </w:r>
            <w:r>
              <w:rPr>
                <w:rFonts w:eastAsia="Times New Roman"/>
                <w:color w:val="000000"/>
                <w:spacing w:val="-3"/>
              </w:rPr>
              <w:t xml:space="preserve">условия       предоставления       муниципальной      поддержки </w:t>
            </w:r>
            <w:r>
              <w:rPr>
                <w:rFonts w:eastAsia="Times New Roman"/>
                <w:color w:val="000000"/>
                <w:spacing w:val="-4"/>
              </w:rPr>
              <w:t>(финансовой, имущественной, консультационной)  рисков     нарушения         (несоблюдения) антимонопольного законодательства при предоставлении        муниципальной поддержки        (финансовой, имущественной, консультационной) не выявлено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29" w:firstLine="43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752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2.4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 xml:space="preserve">Риск        нарушения        (несоблюдения) антимонопольного законодательства при </w:t>
            </w:r>
            <w:r>
              <w:rPr>
                <w:rFonts w:eastAsia="Times New Roman"/>
                <w:spacing w:val="-3"/>
              </w:rPr>
              <w:t xml:space="preserve">выполнении   функций   муниципального </w:t>
            </w:r>
            <w:r>
              <w:rPr>
                <w:rFonts w:eastAsia="Times New Roman"/>
                <w:spacing w:val="-2"/>
              </w:rPr>
              <w:t xml:space="preserve">контроля,   антиконкурентные   действия </w:t>
            </w:r>
            <w:r>
              <w:rPr>
                <w:rFonts w:eastAsia="Times New Roman"/>
              </w:rPr>
              <w:t>(бездействие)</w:t>
            </w:r>
          </w:p>
        </w:tc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color w:val="000000"/>
                <w:spacing w:val="-1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/>
                <w:spacing w:val="-2"/>
              </w:rPr>
              <w:t xml:space="preserve">нормативных    правовых    актов,    определяющих    порядок </w:t>
            </w:r>
            <w:r>
              <w:rPr>
                <w:rFonts w:eastAsia="Times New Roman"/>
                <w:color w:val="000000"/>
                <w:spacing w:val="-4"/>
              </w:rPr>
              <w:t>выполнения функций муниципального контроля на предмет соответствия антимонопольному законодательству  рисков        нарушения        (несоблюдения) антимонопольного законодательства при выполнении   функций   муниципального контроля,   антиконкурентные   действия (бездействие) не выявлены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34" w:firstLine="38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898" w:hRule="exact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2.5</w:t>
            </w:r>
          </w:p>
        </w:tc>
        <w:tc>
          <w:tcPr>
            <w:tcW w:w="3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10" w:firstLine="5"/>
              <w:rPr/>
            </w:pPr>
            <w:r>
              <w:rPr>
                <w:rFonts w:eastAsia="Times New Roman"/>
                <w:spacing w:val="-1"/>
              </w:rPr>
              <w:t>Риск     нарушения         (несоблюдения) а</w:t>
            </w:r>
            <w:r>
              <w:rPr>
                <w:rFonts w:eastAsia="Times New Roman"/>
                <w:spacing w:val="-4"/>
              </w:rPr>
              <w:t xml:space="preserve">нтимонопольного законодательства </w:t>
            </w:r>
            <w:r>
              <w:rPr>
                <w:rFonts w:eastAsia="Times New Roman"/>
                <w:spacing w:val="-3"/>
              </w:rPr>
              <w:t xml:space="preserve">при     предоставлении     муниципальных </w:t>
            </w:r>
            <w:r>
              <w:rPr>
                <w:rFonts w:eastAsia="Times New Roman"/>
                <w:spacing w:val="-1"/>
              </w:rPr>
              <w:t>услуг, установление и (или) взимание не</w:t>
            </w:r>
          </w:p>
        </w:tc>
        <w:tc>
          <w:tcPr>
            <w:tcW w:w="69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1"/>
              </w:rPr>
              <w:t xml:space="preserve">По итогам анализа  практики применения действующих муниципальных </w:t>
            </w:r>
            <w:r>
              <w:rPr>
                <w:rFonts w:eastAsia="Times New Roman"/>
                <w:color w:val="000000"/>
                <w:spacing w:val="-3"/>
              </w:rPr>
              <w:t xml:space="preserve">нормативных   правовых   актов,   определяющих   порядок   и </w:t>
            </w:r>
            <w:r>
              <w:rPr>
                <w:rFonts w:eastAsia="Times New Roman"/>
                <w:color w:val="000000"/>
                <w:spacing w:val="-4"/>
              </w:rPr>
              <w:t>условия предоставления муниципальных услуг на предмет соответствия антимонопольному законодательству  рисков    нарушения  (несоблюдения)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490" w:firstLine="38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  <w:spacing w:val="-5"/>
              </w:rPr>
              <w:t>района</w:t>
            </w:r>
          </w:p>
        </w:tc>
      </w:tr>
    </w:tbl>
    <w:p>
      <w:pPr>
        <w:sectPr>
          <w:headerReference w:type="default" r:id="rId3"/>
          <w:type w:val="nextPage"/>
          <w:pgSz w:orient="landscape" w:w="16838" w:h="11906"/>
          <w:pgMar w:left="1262" w:right="1263" w:header="0" w:top="1335" w:footer="0" w:bottom="36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hd w:val="clear" w:color="auto" w:fill="FFFFFF"/>
        <w:ind w:left="4373" w:hanging="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spacing w:lineRule="exact" w:line="1" w:before="0" w:after="178"/>
        <w:rPr>
          <w:sz w:val="2"/>
          <w:szCs w:val="2"/>
        </w:rPr>
      </w:pPr>
      <w:r>
        <w:rPr>
          <w:sz w:val="2"/>
          <w:szCs w:val="2"/>
        </w:rPr>
      </w:r>
    </w:p>
    <w:tbl>
      <w:tblPr>
        <w:tblW w:w="14308" w:type="dxa"/>
        <w:jc w:val="left"/>
        <w:tblInd w:w="4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noVBand="0" w:val="0000" w:noHBand="0" w:lastColumn="0" w:firstColumn="0" w:lastRow="0" w:firstRow="0"/>
      </w:tblPr>
      <w:tblGrid>
        <w:gridCol w:w="659"/>
        <w:gridCol w:w="3"/>
        <w:gridCol w:w="3679"/>
        <w:gridCol w:w="1"/>
        <w:gridCol w:w="6898"/>
        <w:gridCol w:w="4"/>
        <w:gridCol w:w="6"/>
        <w:gridCol w:w="4"/>
        <w:gridCol w:w="3053"/>
      </w:tblGrid>
      <w:tr>
        <w:trPr>
          <w:trHeight w:val="1310" w:hRule="exact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15" w:hanging="0"/>
              <w:rPr/>
            </w:pPr>
            <w:r>
              <w:rPr>
                <w:rFonts w:eastAsia="Times New Roman"/>
                <w:b/>
                <w:bCs/>
                <w:sz w:val="34"/>
                <w:szCs w:val="34"/>
              </w:rPr>
              <w:t>л</w:t>
            </w:r>
          </w:p>
          <w:p>
            <w:pPr>
              <w:pStyle w:val="Normal"/>
              <w:widowControl w:val="false"/>
              <w:shd w:val="clear" w:color="auto" w:fill="FFFFFF"/>
              <w:ind w:left="115" w:hanging="0"/>
              <w:rPr/>
            </w:pP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73" w:hanging="0"/>
              <w:rPr/>
            </w:pPr>
            <w:r>
              <w:rPr>
                <w:rFonts w:eastAsia="Times New Roman"/>
                <w:b/>
                <w:bCs/>
                <w:spacing w:val="-5"/>
              </w:rPr>
              <w:t>Краткое описание комплаенс-риска</w:t>
            </w:r>
          </w:p>
        </w:tc>
        <w:tc>
          <w:tcPr>
            <w:tcW w:w="69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533" w:right="504" w:hanging="0"/>
              <w:jc w:val="center"/>
              <w:rPr/>
            </w:pPr>
            <w:r>
              <w:rPr>
                <w:rFonts w:eastAsia="Times New Roman"/>
                <w:b/>
                <w:bCs/>
                <w:spacing w:val="-6"/>
              </w:rPr>
              <w:t xml:space="preserve">Наименование мероприятий по минимизации </w:t>
            </w:r>
            <w:r>
              <w:rPr>
                <w:rFonts w:eastAsia="Times New Roman"/>
                <w:spacing w:val="-6"/>
              </w:rPr>
              <w:t xml:space="preserve">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125" w:right="134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6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>выполнение мероприятий по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минимизации и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950" w:hRule="exact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10"/>
              <w:rPr/>
            </w:pPr>
            <w:r>
              <w:rPr>
                <w:rFonts w:eastAsia="Times New Roman"/>
                <w:spacing w:val="-1"/>
              </w:rPr>
              <w:t xml:space="preserve">предусмотренных           действующим законодательством         платежей      при </w:t>
            </w:r>
            <w:r>
              <w:rPr>
                <w:rFonts w:eastAsia="Times New Roman"/>
                <w:spacing w:val="-3"/>
              </w:rPr>
              <w:t>предоставлении муниципальных услуг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>антимонопольного законодательства при     предоставлении     муниципальных услуг, случаев установления и (или) взимания не предусмотренных           действующим законодательством         платежей      при предоставлении муниципальных услуг не выявлено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456" w:hanging="0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5246" w:hRule="exact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4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2.6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62"/>
              <w:rPr/>
            </w:pPr>
            <w:r>
              <w:rPr>
                <w:rFonts w:eastAsia="Times New Roman"/>
              </w:rPr>
              <w:t xml:space="preserve">Риск     нарушения     антимонопольных требований к торгам, запросу котировок </w:t>
            </w:r>
            <w:r>
              <w:rPr>
                <w:rFonts w:eastAsia="Times New Roman"/>
                <w:spacing w:val="-2"/>
              </w:rPr>
              <w:t xml:space="preserve">цен на товары, закупочных процедур при </w:t>
            </w:r>
            <w:r>
              <w:rPr>
                <w:rFonts w:eastAsia="Times New Roman"/>
                <w:spacing w:val="-3"/>
              </w:rPr>
              <w:t xml:space="preserve">проведении закупок товаров, работ, услуг </w:t>
            </w:r>
            <w:r>
              <w:rPr>
                <w:rFonts w:eastAsia="Times New Roman"/>
              </w:rPr>
              <w:t xml:space="preserve">для            муниципальных            нужд, </w:t>
            </w:r>
            <w:r>
              <w:rPr>
                <w:rFonts w:eastAsia="Times New Roman"/>
                <w:spacing w:val="-2"/>
              </w:rPr>
              <w:t xml:space="preserve">антиконкурентные          соглашения, </w:t>
            </w:r>
            <w:r>
              <w:rPr>
                <w:rFonts w:eastAsia="Times New Roman"/>
                <w:spacing w:val="-4"/>
              </w:rPr>
              <w:t xml:space="preserve">создание преимущественных условий для </w:t>
            </w:r>
            <w:r>
              <w:rPr>
                <w:rFonts w:eastAsia="Times New Roman"/>
              </w:rPr>
              <w:t xml:space="preserve">участия    в    закупочных    процедурах, </w:t>
            </w:r>
            <w:r>
              <w:rPr>
                <w:rFonts w:eastAsia="Times New Roman"/>
                <w:spacing w:val="-1"/>
              </w:rPr>
              <w:t xml:space="preserve">ограничение    доступа    к    участию    в </w:t>
            </w:r>
            <w:r>
              <w:rPr>
                <w:rFonts w:eastAsia="Times New Roman"/>
                <w:spacing w:val="-2"/>
              </w:rPr>
              <w:t xml:space="preserve">закупочных   процедурах,   установление </w:t>
            </w:r>
            <w:r>
              <w:rPr>
                <w:rFonts w:eastAsia="Times New Roman"/>
              </w:rPr>
              <w:t xml:space="preserve">требований к товарам, работам, услугам </w:t>
            </w:r>
            <w:r>
              <w:rPr>
                <w:rFonts w:eastAsia="Times New Roman"/>
                <w:spacing w:val="-1"/>
              </w:rPr>
              <w:t xml:space="preserve">или    хозяйствующим    субъектам,     не </w:t>
            </w:r>
            <w:r>
              <w:rPr>
                <w:rFonts w:eastAsia="Times New Roman"/>
                <w:spacing w:val="-2"/>
              </w:rPr>
              <w:t xml:space="preserve">предусмотренных           действующим законодательством,         отсутствие </w:t>
            </w:r>
            <w:r>
              <w:rPr>
                <w:rFonts w:eastAsia="Times New Roman"/>
                <w:spacing w:val="-3"/>
              </w:rPr>
              <w:t xml:space="preserve">надлежащей   экспертизы   документации закупочных        процедур, нарушение </w:t>
            </w:r>
            <w:r>
              <w:rPr>
                <w:rFonts w:eastAsia="Times New Roman"/>
              </w:rPr>
              <w:t xml:space="preserve">порядка и           сроков размещения </w:t>
            </w:r>
            <w:r>
              <w:rPr>
                <w:rFonts w:eastAsia="Times New Roman"/>
                <w:spacing w:val="-1"/>
              </w:rPr>
              <w:t xml:space="preserve">документации    о    •      закупочных </w:t>
            </w:r>
            <w:r>
              <w:rPr>
                <w:rFonts w:eastAsia="Times New Roman"/>
              </w:rPr>
              <w:t xml:space="preserve">процедурах,       нарушение        порядка </w:t>
            </w:r>
            <w:r>
              <w:rPr>
                <w:rFonts w:eastAsia="Times New Roman"/>
                <w:spacing w:val="-2"/>
              </w:rPr>
              <w:t xml:space="preserve">определения     победителя    закупочных </w:t>
            </w:r>
            <w:r>
              <w:rPr>
                <w:rFonts w:eastAsia="Times New Roman"/>
                <w:spacing w:val="-3"/>
              </w:rPr>
              <w:t xml:space="preserve">процедур, осуществление закупок малого </w:t>
            </w:r>
            <w:r>
              <w:rPr>
                <w:rFonts w:eastAsia="Times New Roman"/>
              </w:rPr>
              <w:t xml:space="preserve">объема без использования электронного </w:t>
            </w:r>
            <w:r>
              <w:rPr>
                <w:rFonts w:eastAsia="Times New Roman"/>
                <w:spacing w:val="-2"/>
              </w:rPr>
              <w:t xml:space="preserve">ресурса (продукта)             «Электронный </w:t>
            </w:r>
            <w:r>
              <w:rPr>
                <w:rFonts w:eastAsia="Times New Roman"/>
              </w:rPr>
              <w:t>маркет»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2"/>
              </w:rPr>
              <w:t xml:space="preserve">Изучение   нормативной   правовой   базы   в   сфере   закупок </w:t>
            </w:r>
            <w:r>
              <w:rPr>
                <w:rFonts w:eastAsia="Times New Roman"/>
                <w:color w:val="000000"/>
                <w:spacing w:val="-4"/>
              </w:rPr>
              <w:t xml:space="preserve">(Федеральный закон  от  5  апреля  2013   г.   №  44-ФЗ   «О контрактной системе в сфере закупок товаров, работ, услуг для </w:t>
            </w:r>
            <w:r>
              <w:rPr>
                <w:rFonts w:eastAsia="Times New Roman"/>
                <w:color w:val="000000"/>
                <w:spacing w:val="-1"/>
              </w:rPr>
              <w:t xml:space="preserve">обеспечения   государственных   и   муниципальных   нужд», </w:t>
            </w:r>
            <w:r>
              <w:rPr>
                <w:rFonts w:eastAsia="Times New Roman"/>
                <w:color w:val="000000"/>
                <w:spacing w:val="-3"/>
              </w:rPr>
              <w:t xml:space="preserve">Федеральный закон от 18 июля 2011 г. № 223-ФЗ «О закупках </w:t>
            </w:r>
            <w:r>
              <w:rPr>
                <w:rFonts w:eastAsia="Times New Roman"/>
                <w:color w:val="000000"/>
                <w:spacing w:val="-5"/>
              </w:rPr>
              <w:t xml:space="preserve">товаров, работ, услуг отдельными видами юридических лиц», в </w:t>
            </w:r>
            <w:r>
              <w:rPr>
                <w:rFonts w:eastAsia="Times New Roman"/>
                <w:color w:val="000000"/>
                <w:spacing w:val="-4"/>
              </w:rPr>
              <w:t>т.ч. областная и муниципальная нормативные правовые базы) было проведено. Нарушений   антимонопольных требований к торгам, запросу котировок цен на товары, закупочных процедур при проведении закупок товаров, работ, услуг для            муниципальных            нужд, заключений антиконкурентных         соглашений, создание преимущественных условий для участия    в    закупочных    процедурах, ограничение    доступа    к    участию    в закупочных   процедурах,   установление требований к товарам, работам, услугам или    хозяйствующим    субъектам,     не предусмотренных           действующим законодательством,         отсутствие надлежащей   экспертизы   документации закупочных        процедур, нарушения порядка и           сроков размещения документации    о   закупочных процедурах,       нарушениея       порядка определения     победителя    закупочных процедур, осуществление закупок малого объема без использования электронного ресурса (продукта)   «Электронный маркет» не имелось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14" w:hanging="0"/>
              <w:jc w:val="center"/>
              <w:rPr/>
            </w:pPr>
            <w:r>
              <w:rPr>
                <w:rFonts w:eastAsia="Times New Roman"/>
                <w:spacing w:val="-2"/>
              </w:rPr>
              <w:t xml:space="preserve">Сруктурные          подразделения </w:t>
            </w:r>
            <w:r>
              <w:rPr>
                <w:rFonts w:eastAsia="Times New Roman"/>
                <w:spacing w:val="-3"/>
              </w:rPr>
              <w:t xml:space="preserve">администрации         Ровеньского </w:t>
            </w:r>
            <w:r>
              <w:rPr>
                <w:rFonts w:eastAsia="Times New Roman"/>
              </w:rPr>
              <w:t>района,        участвующие        в закупочных процедурах</w:t>
            </w:r>
          </w:p>
        </w:tc>
      </w:tr>
      <w:tr>
        <w:trPr>
          <w:trHeight w:val="1550" w:hRule="exact"/>
        </w:trPr>
        <w:tc>
          <w:tcPr>
            <w:tcW w:w="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2.7</w:t>
            </w:r>
          </w:p>
        </w:tc>
        <w:tc>
          <w:tcPr>
            <w:tcW w:w="36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101"/>
              <w:rPr/>
            </w:pPr>
            <w:r>
              <w:rPr>
                <w:rFonts w:eastAsia="Times New Roman"/>
                <w:spacing w:val="-2"/>
              </w:rPr>
              <w:t xml:space="preserve">Риск    нарушения     антимонопольного законодательства       при       заключении </w:t>
            </w:r>
            <w:r>
              <w:rPr>
                <w:rFonts w:eastAsia="Times New Roman"/>
                <w:spacing w:val="-1"/>
              </w:rPr>
              <w:t xml:space="preserve">договоров          аренды, договоров </w:t>
            </w:r>
            <w:r>
              <w:rPr>
                <w:rFonts w:eastAsia="Times New Roman"/>
              </w:rPr>
              <w:t xml:space="preserve">безвозмездного пользования муниципальным имуществом </w:t>
            </w:r>
            <w:r>
              <w:rPr>
                <w:rFonts w:eastAsia="Times New Roman"/>
                <w:spacing w:val="-2"/>
              </w:rPr>
              <w:t xml:space="preserve">Ровеньского   района,   иных   договоров, </w:t>
            </w:r>
            <w:r>
              <w:rPr>
                <w:rFonts w:eastAsia="Times New Roman"/>
                <w:spacing w:val="-1"/>
              </w:rPr>
              <w:t>предусматривающих      переход      прав</w:t>
            </w:r>
          </w:p>
        </w:tc>
        <w:tc>
          <w:tcPr>
            <w:tcW w:w="69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right="5" w:firstLine="48"/>
              <w:rPr/>
            </w:pPr>
            <w:r>
              <w:rPr>
                <w:rFonts w:eastAsia="Times New Roman"/>
                <w:spacing w:val="-4"/>
              </w:rPr>
              <w:t xml:space="preserve">Анализ практики заключения договоров, предусматривающих </w:t>
            </w:r>
            <w:r>
              <w:rPr>
                <w:rFonts w:eastAsia="Times New Roman"/>
              </w:rPr>
              <w:t>переход прав владения и (или) пользования в отношении муниципального  имущества Ровеньского района с учетом положений антимонопольного законодательства был проведен. Нарушений    антимонопольного законодательства   при       заключении договоров   аренды, договоров безвозмездного пользования муниципальным имуществом Ровеньского   района,   иных   договоров, предусматривающих      переход      прав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2"/>
              </w:rPr>
              <w:t>структурные        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3"/>
              </w:rPr>
              <w:t>администрации        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  <w:spacing w:val="-1"/>
              </w:rPr>
              <w:t>района, выполняющие функции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6"/>
              <w:rPr/>
            </w:pPr>
            <w:r>
              <w:rPr>
                <w:rFonts w:eastAsia="Times New Roman"/>
              </w:rPr>
              <w:t>по   заключению   договоров    в</w:t>
            </w:r>
          </w:p>
        </w:tc>
      </w:tr>
      <w:tr>
        <w:trPr>
          <w:trHeight w:val="1334" w:hRule="exact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110" w:right="62" w:firstLine="34"/>
              <w:rPr/>
            </w:pPr>
            <w:r>
              <w:rPr>
                <w:rFonts w:eastAsia="Times New Roman"/>
                <w:b/>
                <w:bCs/>
              </w:rPr>
              <w:t xml:space="preserve">№ </w:t>
            </w:r>
            <w:r>
              <w:rPr>
                <w:rFonts w:eastAsia="Times New Roman"/>
                <w:b/>
                <w:bCs/>
              </w:rPr>
              <w:t>п/п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68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>Краткое описание комплаенс-риска</w:t>
            </w:r>
          </w:p>
        </w:tc>
        <w:tc>
          <w:tcPr>
            <w:tcW w:w="68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left="533" w:right="509" w:hanging="0"/>
              <w:jc w:val="center"/>
              <w:rPr/>
            </w:pPr>
            <w:r>
              <w:rPr>
                <w:rFonts w:eastAsia="Times New Roman"/>
                <w:b/>
                <w:bCs/>
                <w:spacing w:val="-7"/>
              </w:rPr>
              <w:t xml:space="preserve">Наименование мероприятий по минимизации и </w:t>
            </w:r>
            <w:r>
              <w:rPr>
                <w:rFonts w:eastAsia="Times New Roman"/>
                <w:b/>
                <w:bCs/>
              </w:rPr>
              <w:t>устранению комплаенс-рисков</w:t>
            </w:r>
          </w:p>
        </w:tc>
        <w:tc>
          <w:tcPr>
            <w:tcW w:w="306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125" w:right="149" w:hanging="0"/>
              <w:rPr/>
            </w:pPr>
            <w:r>
              <w:rPr>
                <w:rFonts w:eastAsia="Times New Roman"/>
                <w:b/>
                <w:bCs/>
                <w:spacing w:val="-4"/>
              </w:rPr>
              <w:t xml:space="preserve">Структурное подразделение </w:t>
            </w:r>
            <w:r>
              <w:rPr>
                <w:rFonts w:eastAsia="Times New Roman"/>
                <w:b/>
                <w:bCs/>
                <w:spacing w:val="-5"/>
              </w:rPr>
              <w:t>администрации Ровеньского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4"/>
              </w:rPr>
              <w:t>района, ответственное за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6"/>
              </w:rPr>
              <w:t>выполнение мероприятий по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  <w:spacing w:val="-5"/>
              </w:rPr>
              <w:t>минимизации и устранению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b/>
                <w:bCs/>
              </w:rPr>
              <w:t>комплаенс-рисков</w:t>
            </w:r>
          </w:p>
        </w:tc>
      </w:tr>
      <w:tr>
        <w:trPr>
          <w:trHeight w:val="1306" w:hRule="exact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rPr/>
            </w:pPr>
            <w:r>
              <w:rPr>
                <w:rFonts w:eastAsia="Times New Roman"/>
                <w:spacing w:val="-2"/>
              </w:rPr>
              <w:t>влад</w:t>
            </w:r>
            <w:r>
              <w:rPr>
                <w:rFonts w:eastAsia="Times New Roman"/>
                <w:b w:val="false"/>
                <w:bCs w:val="false"/>
                <w:spacing w:val="-2"/>
              </w:rPr>
              <w:t xml:space="preserve">ения     и     (или)     пользования     в </w:t>
            </w:r>
            <w:r>
              <w:rPr>
                <w:rFonts w:eastAsia="Times New Roman"/>
                <w:b w:val="false"/>
                <w:bCs w:val="false"/>
                <w:spacing w:val="-1"/>
              </w:rPr>
              <w:t>отношении муниципального  имуществ</w:t>
            </w:r>
            <w:r>
              <w:rPr>
                <w:rFonts w:eastAsia="Times New Roman"/>
                <w:spacing w:val="-1"/>
              </w:rPr>
              <w:t xml:space="preserve">а </w:t>
            </w:r>
            <w:r>
              <w:rPr>
                <w:rFonts w:eastAsia="Times New Roman"/>
                <w:spacing w:val="-3"/>
              </w:rPr>
              <w:t xml:space="preserve">Ровеньского района (передача имущества </w:t>
            </w:r>
            <w:r>
              <w:rPr>
                <w:rFonts w:eastAsia="Times New Roman"/>
              </w:rPr>
              <w:t xml:space="preserve">без      торгов,      нарушение      порядка </w:t>
            </w:r>
            <w:r>
              <w:rPr>
                <w:rFonts w:eastAsia="Times New Roman"/>
                <w:spacing w:val="-1"/>
              </w:rPr>
              <w:t xml:space="preserve">проведения    торгов,    пролонгирование </w:t>
            </w:r>
            <w:r>
              <w:rPr>
                <w:rFonts w:eastAsia="Times New Roman"/>
                <w:spacing w:val="-3"/>
              </w:rPr>
              <w:t>договора без конкурентных процедур)</w:t>
            </w:r>
          </w:p>
        </w:tc>
        <w:tc>
          <w:tcPr>
            <w:tcW w:w="6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/>
            </w:pPr>
            <w:r>
              <w:rPr/>
              <w:t>владения     и     (или)     пользования     в отношении муниципального  имущества Ровеньского района (передача имущества без      торгов,      нарушение      порядка проведения    торгов,    пролонгирование договора без конкурентных процедур) не выявлено.</w:t>
            </w:r>
          </w:p>
        </w:tc>
        <w:tc>
          <w:tcPr>
            <w:tcW w:w="3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26"/>
              <w:ind w:right="29" w:hanging="0"/>
              <w:rPr/>
            </w:pPr>
            <w:r>
              <w:rPr>
                <w:rFonts w:eastAsia="Times New Roman"/>
                <w:spacing w:val="-3"/>
              </w:rPr>
              <w:t xml:space="preserve">отношении         муниципального </w:t>
            </w:r>
            <w:r>
              <w:rPr>
                <w:rFonts w:eastAsia="Times New Roman"/>
                <w:spacing w:val="-4"/>
              </w:rPr>
              <w:t>имущества Ровеньского района</w:t>
            </w:r>
          </w:p>
        </w:tc>
      </w:tr>
      <w:tr>
        <w:trPr>
          <w:trHeight w:val="2429" w:hRule="exact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ind w:left="10" w:hanging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2.8.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10"/>
              <w:rPr/>
            </w:pPr>
            <w:r>
              <w:rPr>
                <w:rFonts w:eastAsia="Times New Roman"/>
                <w:spacing w:val="-1"/>
              </w:rPr>
              <w:t xml:space="preserve">Риск            совмещения             функций </w:t>
            </w:r>
            <w:r>
              <w:rPr>
                <w:rFonts w:eastAsia="Times New Roman"/>
                <w:spacing w:val="-2"/>
              </w:rPr>
              <w:t xml:space="preserve">администрации   Ровеньского   района   и функций    организаций     (учреждений), </w:t>
            </w:r>
            <w:r>
              <w:rPr>
                <w:rFonts w:eastAsia="Times New Roman"/>
              </w:rPr>
              <w:t xml:space="preserve">закрепленных     в     подведомственную </w:t>
            </w:r>
            <w:r>
              <w:rPr>
                <w:rFonts w:eastAsia="Times New Roman"/>
                <w:spacing w:val="-2"/>
              </w:rPr>
              <w:t xml:space="preserve">подчиненность                  администрации </w:t>
            </w:r>
            <w:r>
              <w:rPr>
                <w:rFonts w:eastAsia="Times New Roman"/>
              </w:rPr>
              <w:t xml:space="preserve">Ровеньского района, а также наделения </w:t>
            </w:r>
            <w:r>
              <w:rPr>
                <w:rFonts w:eastAsia="Times New Roman"/>
                <w:spacing w:val="-3"/>
              </w:rPr>
              <w:t xml:space="preserve">указанных    организаций    (учреждений) </w:t>
            </w:r>
            <w:r>
              <w:rPr>
                <w:rFonts w:eastAsia="Times New Roman"/>
                <w:spacing w:val="-1"/>
              </w:rPr>
              <w:t xml:space="preserve">функциями администрации Ровеньского </w:t>
            </w:r>
            <w:r>
              <w:rPr>
                <w:rFonts w:eastAsia="Times New Roman"/>
                <w:spacing w:val="-2"/>
              </w:rPr>
              <w:t xml:space="preserve">района,     за     исключением     функций, предусмотренных               действующим </w:t>
            </w:r>
            <w:r>
              <w:rPr>
                <w:rFonts w:eastAsia="Times New Roman"/>
              </w:rPr>
              <w:t>законодательством</w:t>
            </w:r>
          </w:p>
        </w:tc>
        <w:tc>
          <w:tcPr>
            <w:tcW w:w="6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5"/>
              </w:rPr>
              <w:t xml:space="preserve">Анализ учредительных документов организаций (учреждений), </w:t>
            </w:r>
            <w:r>
              <w:rPr>
                <w:rFonts w:eastAsia="Times New Roman"/>
                <w:color w:val="000000"/>
                <w:spacing w:val="-2"/>
              </w:rPr>
              <w:t xml:space="preserve">закрепленных       в       подведомственную       подчиненность </w:t>
            </w:r>
            <w:r>
              <w:rPr>
                <w:rFonts w:eastAsia="Times New Roman"/>
                <w:color w:val="000000"/>
              </w:rPr>
              <w:t>администрации Ровеньского района проведен. Случаев совмещения  функций администрации   Ровеньского   района   и функций    организаций     (учреждений), закрепленных     в     подведомственную подчиненность  администрации Ровеньского района, а также наделения указанных    организаций    (учреждений) функциями администрации Ровеньского района,     за     исключением     функций, предусмотренных               действующим законодательством не выявлено</w:t>
            </w:r>
          </w:p>
        </w:tc>
        <w:tc>
          <w:tcPr>
            <w:tcW w:w="3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  <w:tr>
        <w:trPr>
          <w:trHeight w:val="1973" w:hRule="exact"/>
        </w:trPr>
        <w:tc>
          <w:tcPr>
            <w:tcW w:w="6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2.9.</w:t>
            </w:r>
          </w:p>
        </w:tc>
        <w:tc>
          <w:tcPr>
            <w:tcW w:w="3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/>
            </w:pPr>
            <w:r>
              <w:rPr>
                <w:rFonts w:eastAsia="Times New Roman"/>
                <w:spacing w:val="-1"/>
              </w:rPr>
              <w:t xml:space="preserve">Риск     нарушения         сотрудниками </w:t>
            </w:r>
            <w:r>
              <w:rPr>
                <w:rFonts w:eastAsia="Times New Roman"/>
              </w:rPr>
              <w:t xml:space="preserve">администрации Ровеньского района при осуществлении должностных </w:t>
            </w:r>
            <w:r>
              <w:rPr>
                <w:rFonts w:eastAsia="Times New Roman"/>
                <w:spacing w:val="-2"/>
              </w:rPr>
              <w:t xml:space="preserve">обязанностей    (функций)     соблюдения норм      (аспектов)      антимонопольного </w:t>
            </w:r>
            <w:r>
              <w:rPr>
                <w:rFonts w:eastAsia="Times New Roman"/>
                <w:spacing w:val="-3"/>
              </w:rPr>
              <w:t xml:space="preserve">законодательства,       функционирования </w:t>
            </w:r>
            <w:r>
              <w:rPr>
                <w:rFonts w:eastAsia="Times New Roman"/>
                <w:spacing w:val="-2"/>
              </w:rPr>
              <w:t xml:space="preserve">антимонопольного          комплаенса </w:t>
            </w:r>
            <w:r>
              <w:rPr>
                <w:rFonts w:eastAsia="Times New Roman"/>
                <w:spacing w:val="-4"/>
              </w:rPr>
              <w:t>администрации Ровеньского района</w:t>
            </w:r>
          </w:p>
        </w:tc>
        <w:tc>
          <w:tcPr>
            <w:tcW w:w="69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6"/>
              <w:ind w:firstLine="5"/>
              <w:rPr>
                <w:color w:val="000000"/>
              </w:rPr>
            </w:pPr>
            <w:r>
              <w:rPr>
                <w:rFonts w:eastAsia="Times New Roman"/>
                <w:color w:val="000000"/>
                <w:spacing w:val="-3"/>
              </w:rPr>
              <w:t xml:space="preserve">Ознакомление </w:t>
            </w:r>
            <w:r>
              <w:rPr>
                <w:rFonts w:eastAsia="Times New Roman"/>
                <w:color w:val="000000"/>
                <w:spacing w:val="-4"/>
              </w:rPr>
              <w:t xml:space="preserve">сотрудников администрации Ровеньского района </w:t>
            </w:r>
            <w:r>
              <w:rPr>
                <w:rFonts w:eastAsia="Times New Roman"/>
                <w:color w:val="000000"/>
                <w:spacing w:val="-2"/>
              </w:rPr>
              <w:t xml:space="preserve"> по вопроса</w:t>
            </w:r>
            <w:bookmarkStart w:id="1" w:name="_GoBack1"/>
            <w:bookmarkEnd w:id="1"/>
            <w:r>
              <w:rPr>
                <w:rFonts w:eastAsia="Times New Roman"/>
                <w:color w:val="000000"/>
                <w:spacing w:val="-2"/>
              </w:rPr>
              <w:t xml:space="preserve">м </w:t>
            </w:r>
            <w:r>
              <w:rPr>
                <w:rFonts w:eastAsia="Times New Roman"/>
                <w:color w:val="000000"/>
                <w:spacing w:val="-3"/>
              </w:rPr>
              <w:t xml:space="preserve">применения       антимонопольного   законодательства,   мерах </w:t>
            </w:r>
            <w:r>
              <w:rPr>
                <w:rFonts w:eastAsia="Times New Roman"/>
                <w:color w:val="000000"/>
                <w:spacing w:val="-2"/>
              </w:rPr>
              <w:t xml:space="preserve">ответственности       за        нарушение        антимонопольного </w:t>
            </w:r>
            <w:r>
              <w:rPr>
                <w:rFonts w:eastAsia="Times New Roman"/>
                <w:color w:val="000000"/>
              </w:rPr>
              <w:t>законодательства проведено</w:t>
            </w:r>
          </w:p>
        </w:tc>
        <w:tc>
          <w:tcPr>
            <w:tcW w:w="30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pacing w:lineRule="exact" w:line="211"/>
              <w:ind w:left="216" w:hanging="0"/>
              <w:rPr/>
            </w:pPr>
            <w:r>
              <w:rPr>
                <w:rFonts w:eastAsia="Times New Roman"/>
                <w:spacing w:val="-6"/>
              </w:rPr>
              <w:t>Отдел правового обеспечения, муниципальной службы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5"/>
              </w:rPr>
              <w:t>и кадров администрации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</w:rPr>
              <w:t>Ровеньского района;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jc w:val="center"/>
              <w:rPr/>
            </w:pPr>
            <w:r>
              <w:rPr>
                <w:rFonts w:eastAsia="Times New Roman"/>
                <w:spacing w:val="-6"/>
              </w:rPr>
              <w:t>структурные подразделения</w:t>
            </w:r>
          </w:p>
          <w:p>
            <w:pPr>
              <w:pStyle w:val="Normal"/>
              <w:widowControl w:val="false"/>
              <w:shd w:val="clear" w:color="auto" w:fill="FFFFFF"/>
              <w:spacing w:lineRule="exact" w:line="211"/>
              <w:ind w:right="43" w:hanging="0"/>
              <w:jc w:val="center"/>
              <w:rPr/>
            </w:pPr>
            <w:r>
              <w:rPr>
                <w:rFonts w:eastAsia="Times New Roman"/>
                <w:spacing w:val="-6"/>
              </w:rPr>
              <w:t xml:space="preserve">администрации Ровеньского </w:t>
            </w:r>
            <w:r>
              <w:rPr>
                <w:rFonts w:eastAsia="Times New Roman"/>
              </w:rPr>
              <w:t>района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4"/>
        </w:rPr>
      </w:pPr>
      <w:r>
        <w:rPr/>
      </w:r>
    </w:p>
    <w:sectPr>
      <w:headerReference w:type="default" r:id="rId4"/>
      <w:type w:val="nextPage"/>
      <w:pgSz w:orient="landscape" w:w="16838" w:h="11906"/>
      <w:pgMar w:left="1270" w:right="1270" w:header="0" w:top="1361" w:footer="0" w:bottom="36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embedSystemFonts/>
  <w:defaultTabStop w:val="720"/>
  <w:autoHyphenation w:val="true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roid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roid Sans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Header"/>
    <w:basedOn w:val="Normal"/>
    <w:pPr>
      <w:suppressLineNumbers/>
      <w:tabs>
        <w:tab w:val="clear" w:pos="720"/>
        <w:tab w:val="center" w:pos="7224" w:leader="none"/>
        <w:tab w:val="right" w:pos="1444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Application>LibreOffice/7.0.6.2$Linux_X86_64 LibreOffice_project/00$Build-2</Application>
  <AppVersion>15.0000</AppVersion>
  <Pages>6</Pages>
  <Words>1659</Words>
  <Characters>14336</Characters>
  <CharactersWithSpaces>17347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2020-01-20T10:08:00Z</dcterms:created>
  <dc:creator>Виталий А. Мягкий</dc:creator>
  <dc:description/>
  <dc:language>ru-RU</dc:language>
  <cp:lastModifiedBy/>
  <cp:lastPrinted>2022-02-01T11:15:25Z</cp:lastPrinted>
  <dcterms:modified xsi:type="dcterms:W3CDTF">2022-02-04T14:51:57Z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