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Style21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Style21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1"/>
        <w:jc w:val="center"/>
        <w:rPr>
          <w:b/>
          <w:b/>
        </w:rPr>
      </w:pPr>
      <w:r>
        <w:rPr/>
        <w:drawing>
          <wp:inline distT="0" distB="0" distL="0" distR="0">
            <wp:extent cx="56705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10"/>
        <w:jc w:val="left"/>
        <w:rPr>
          <w:b/>
          <w:b/>
          <w:sz w:val="24"/>
          <w:szCs w:val="24"/>
        </w:rPr>
      </w:pPr>
      <w:r>
        <w:rPr>
          <w:b/>
        </w:rPr>
        <w:t>29  марта 2022 г.</w:t>
        <w:tab/>
        <w:tab/>
        <w:tab/>
        <w:t xml:space="preserve">  </w:t>
        <w:tab/>
        <w:t xml:space="preserve">   </w:t>
        <w:tab/>
        <w:t xml:space="preserve">   </w:t>
        <w:tab/>
        <w:t xml:space="preserve">                                    № </w:t>
      </w:r>
      <w:r>
        <w:rPr>
          <w:rFonts w:eastAsia="NSimSun" w:cs="Mangal"/>
          <w:b/>
          <w:color w:val="auto"/>
          <w:kern w:val="0"/>
          <w:sz w:val="28"/>
          <w:szCs w:val="20"/>
          <w:u w:val="single"/>
          <w:lang w:val="ru-RU" w:eastAsia="ru-RU" w:bidi="ar-SA"/>
        </w:rPr>
        <w:t>49</w:t>
      </w:r>
      <w:r>
        <w:rPr>
          <w:b/>
          <w:u w:val="single"/>
        </w:rPr>
        <w:t xml:space="preserve">/ </w:t>
      </w:r>
      <w:r>
        <w:rPr>
          <w:rFonts w:eastAsia="NSimSun" w:cs="Mangal"/>
          <w:b/>
          <w:color w:val="auto"/>
          <w:kern w:val="0"/>
          <w:sz w:val="28"/>
          <w:szCs w:val="20"/>
          <w:u w:val="single"/>
          <w:lang w:val="ru-RU" w:eastAsia="ru-RU" w:bidi="ar-SA"/>
        </w:rPr>
        <w:t>372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ind w:right="416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членов в Общественную палату муниципального района «Ровеньский район» Белгородской области</w:t>
      </w:r>
    </w:p>
    <w:p>
      <w:pPr>
        <w:pStyle w:val="Style21"/>
        <w:rPr/>
      </w:pPr>
      <w:r>
        <w:rPr/>
        <w:t xml:space="preserve"> </w:t>
      </w:r>
    </w:p>
    <w:p>
      <w:pPr>
        <w:pStyle w:val="Style21"/>
        <w:rPr/>
      </w:pPr>
      <w:r>
        <w:rPr/>
      </w:r>
    </w:p>
    <w:p>
      <w:pPr>
        <w:pStyle w:val="Style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Муниципального совета Ровеньского района от 27 февраля 2013 года №71/650 «Об утверждении Положения об Общественной палате муниципального района «Ровеньский район» Белгородской области, постановлением администрации Ровеньского района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28 февраля 2022 года №85 «О формировании Общественной палаты муниципального района «Ровеньский район» Белгородской области», в связи с истечением полномочий членов Общественной палаты Муниципальный совет Ровеньского района </w:t>
      </w:r>
      <w:r>
        <w:rPr>
          <w:b/>
          <w:sz w:val="28"/>
          <w:szCs w:val="28"/>
        </w:rPr>
        <w:t>р е ш и л</w:t>
      </w:r>
      <w:r>
        <w:rPr>
          <w:sz w:val="28"/>
          <w:szCs w:val="28"/>
        </w:rPr>
        <w:t>:</w:t>
      </w:r>
    </w:p>
    <w:p>
      <w:pPr>
        <w:pStyle w:val="Style21"/>
        <w:tabs>
          <w:tab w:val="clear" w:pos="708"/>
          <w:tab w:val="left" w:pos="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членами Общественной палаты муниципального района «Ровеньский район» Белгородской области:</w:t>
      </w:r>
    </w:p>
    <w:p>
      <w:pPr>
        <w:pStyle w:val="Style21"/>
        <w:tabs>
          <w:tab w:val="clear" w:pos="708"/>
          <w:tab w:val="left" w:pos="360" w:leader="none"/>
        </w:tabs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821"/>
        <w:tblW w:w="9630" w:type="dxa"/>
        <w:jc w:val="left"/>
        <w:tblInd w:w="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12"/>
        <w:gridCol w:w="540"/>
        <w:gridCol w:w="5178"/>
      </w:tblGrid>
      <w:tr>
        <w:trPr/>
        <w:tc>
          <w:tcPr>
            <w:tcW w:w="3912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Сокольского</w:t>
            </w:r>
          </w:p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Виталия Андреевича</w:t>
            </w:r>
          </w:p>
        </w:tc>
        <w:tc>
          <w:tcPr>
            <w:tcW w:w="540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kern w:val="0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5178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главного врача ОГБУЗ «Ровеньская ЦРБ»</w:t>
            </w:r>
          </w:p>
        </w:tc>
      </w:tr>
      <w:tr>
        <w:trPr/>
        <w:tc>
          <w:tcPr>
            <w:tcW w:w="3912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</w:r>
          </w:p>
        </w:tc>
        <w:tc>
          <w:tcPr>
            <w:tcW w:w="540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</w:r>
          </w:p>
        </w:tc>
        <w:tc>
          <w:tcPr>
            <w:tcW w:w="5178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</w:r>
          </w:p>
        </w:tc>
      </w:tr>
      <w:tr>
        <w:trPr>
          <w:trHeight w:val="656" w:hRule="atLeast"/>
        </w:trPr>
        <w:tc>
          <w:tcPr>
            <w:tcW w:w="3912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Бражникова</w:t>
            </w:r>
          </w:p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Василия Ивановича</w:t>
            </w:r>
          </w:p>
        </w:tc>
        <w:tc>
          <w:tcPr>
            <w:tcW w:w="540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5178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заместителя главного редактора, заведующего отделом общественно-политических проблем автономной некоммерческой организации «Редакция газеты «Ровеньская нива»</w:t>
            </w:r>
          </w:p>
        </w:tc>
      </w:tr>
      <w:tr>
        <w:trPr>
          <w:trHeight w:val="94" w:hRule="atLeast"/>
        </w:trPr>
        <w:tc>
          <w:tcPr>
            <w:tcW w:w="3912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</w:r>
          </w:p>
        </w:tc>
        <w:tc>
          <w:tcPr>
            <w:tcW w:w="540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</w:r>
          </w:p>
        </w:tc>
        <w:tc>
          <w:tcPr>
            <w:tcW w:w="5178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</w:r>
          </w:p>
        </w:tc>
      </w:tr>
      <w:tr>
        <w:trPr/>
        <w:tc>
          <w:tcPr>
            <w:tcW w:w="3912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</w:rPr>
              <w:t>Кутовую</w:t>
            </w:r>
          </w:p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</w:rPr>
              <w:t>Наталью Петровну</w:t>
            </w:r>
          </w:p>
        </w:tc>
        <w:tc>
          <w:tcPr>
            <w:tcW w:w="540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5178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начальника отдела дошкольного и общего образования управления образования администрации Ровеньского района</w:t>
            </w:r>
          </w:p>
        </w:tc>
      </w:tr>
      <w:tr>
        <w:trPr/>
        <w:tc>
          <w:tcPr>
            <w:tcW w:w="3912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78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12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</w:rPr>
              <w:t>Магон</w:t>
            </w:r>
          </w:p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8"/>
                <w:szCs w:val="28"/>
              </w:rPr>
              <w:t>Раису Петровну</w:t>
            </w:r>
          </w:p>
        </w:tc>
        <w:tc>
          <w:tcPr>
            <w:tcW w:w="540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5178" w:type="dxa"/>
            <w:tcBorders/>
          </w:tcPr>
          <w:p>
            <w:pPr>
              <w:pStyle w:val="Style21"/>
              <w:widowControl w:val="false"/>
              <w:tabs>
                <w:tab w:val="clear" w:pos="708"/>
                <w:tab w:val="left" w:pos="36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председателя РМО БРООО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«Всероссийское общество инвалидов»</w:t>
            </w:r>
          </w:p>
        </w:tc>
      </w:tr>
    </w:tbl>
    <w:p>
      <w:pPr>
        <w:pStyle w:val="Style21"/>
        <w:tabs>
          <w:tab w:val="clear" w:pos="708"/>
          <w:tab w:val="left" w:pos="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</w:t>
      </w:r>
    </w:p>
    <w:p>
      <w:pPr>
        <w:pStyle w:val="Style21"/>
        <w:tabs>
          <w:tab w:val="clear" w:pos="708"/>
          <w:tab w:val="left" w:pos="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2. Направить настоящее решение в администрацию Ровеньского района.</w:t>
      </w:r>
    </w:p>
    <w:p>
      <w:pPr>
        <w:pStyle w:val="Style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данное решение на официальном сайте органов местного самоуправления Ровеньского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rovenkiadm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Style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обеспечению законности, охраны прав и свобод граждан Муниципального совета Ровеньского района.</w:t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Style21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Ровеньского района                                                          В.А. Некрасов</w:t>
      </w:r>
    </w:p>
    <w:sectPr>
      <w:type w:val="nextPage"/>
      <w:pgSz w:w="11906" w:h="16838"/>
      <w:pgMar w:left="1418" w:right="926" w:gutter="0" w:header="0" w:top="899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link w:val="637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>
    <w:name w:val="Heading 2"/>
    <w:link w:val="639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0"/>
      <w:lang w:val="ru-RU" w:eastAsia="zh-CN" w:bidi="ar-SA"/>
    </w:rPr>
  </w:style>
  <w:style w:type="paragraph" w:styleId="3">
    <w:name w:val="Heading 3"/>
    <w:link w:val="641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>
    <w:name w:val="Heading 4"/>
    <w:link w:val="64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zh-CN" w:bidi="ar-SA"/>
    </w:rPr>
  </w:style>
  <w:style w:type="paragraph" w:styleId="5">
    <w:name w:val="Heading 5"/>
    <w:link w:val="64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>
    <w:name w:val="Heading 6"/>
    <w:link w:val="64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>
    <w:name w:val="Heading 7"/>
    <w:link w:val="64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>
    <w:name w:val="Heading 8"/>
    <w:link w:val="651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>
    <w:name w:val="Heading 9"/>
    <w:link w:val="65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Heading1Char">
    <w:name w:val="Heading 1 Char"/>
    <w:link w:val="636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3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4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4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4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4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4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5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5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56"/>
    <w:uiPriority w:val="10"/>
    <w:qFormat/>
    <w:rPr>
      <w:sz w:val="48"/>
      <w:szCs w:val="48"/>
    </w:rPr>
  </w:style>
  <w:style w:type="character" w:styleId="SubtitleChar">
    <w:name w:val="Subtitle Char"/>
    <w:link w:val="658"/>
    <w:uiPriority w:val="11"/>
    <w:qFormat/>
    <w:rPr>
      <w:sz w:val="24"/>
      <w:szCs w:val="24"/>
    </w:rPr>
  </w:style>
  <w:style w:type="character" w:styleId="QuoteChar">
    <w:name w:val="Quote Char"/>
    <w:link w:val="660"/>
    <w:uiPriority w:val="29"/>
    <w:qFormat/>
    <w:rPr>
      <w:i/>
    </w:rPr>
  </w:style>
  <w:style w:type="character" w:styleId="IntenseQuoteChar">
    <w:name w:val="Intense Quote Char"/>
    <w:link w:val="662"/>
    <w:uiPriority w:val="30"/>
    <w:qFormat/>
    <w:rPr>
      <w:i/>
    </w:rPr>
  </w:style>
  <w:style w:type="character" w:styleId="HeaderChar">
    <w:name w:val="Header Char"/>
    <w:link w:val="664"/>
    <w:uiPriority w:val="99"/>
    <w:qFormat/>
    <w:rPr/>
  </w:style>
  <w:style w:type="character" w:styleId="FooterChar">
    <w:name w:val="Footer Char"/>
    <w:link w:val="666"/>
    <w:uiPriority w:val="99"/>
    <w:qFormat/>
    <w:rPr/>
  </w:style>
  <w:style w:type="character" w:styleId="CaptionChar">
    <w:name w:val="Caption Char"/>
    <w:link w:val="666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7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00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link w:val="814"/>
    <w:semiHidden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Style21"/>
    <w:link w:val="814"/>
    <w:pPr>
      <w:jc w:val="center"/>
    </w:pPr>
    <w:rPr>
      <w:sz w:val="28"/>
      <w:szCs w:val="20"/>
    </w:rPr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uiPriority w:val="35"/>
    <w:semiHidden/>
    <w:unhideWhenUsed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NSimSun" w:cs="Mangal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1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4">
    <w:name w:val="Title"/>
    <w:link w:val="657"/>
    <w:uiPriority w:val="10"/>
    <w:qFormat/>
    <w:pPr>
      <w:widowControl/>
      <w:suppressAutoHyphens w:val="true"/>
      <w:bidi w:val="0"/>
      <w:spacing w:before="300" w:after="200"/>
      <w:contextualSpacing/>
      <w:jc w:val="left"/>
    </w:pPr>
    <w:rPr>
      <w:rFonts w:ascii="Times New Roman" w:hAnsi="Times New Roman" w:eastAsia="NSimSun" w:cs="Mangal"/>
      <w:color w:val="auto"/>
      <w:kern w:val="0"/>
      <w:sz w:val="48"/>
      <w:szCs w:val="48"/>
      <w:lang w:val="ru-RU" w:eastAsia="zh-CN" w:bidi="ar-SA"/>
    </w:rPr>
  </w:style>
  <w:style w:type="paragraph" w:styleId="Style15">
    <w:name w:val="Subtitle"/>
    <w:link w:val="659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link w:val="661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link w:val="663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link w:val="665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8">
    <w:name w:val="Footer"/>
    <w:link w:val="669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9">
    <w:name w:val="Footnote Text"/>
    <w:link w:val="798"/>
    <w:uiPriority w:val="99"/>
    <w:semiHidden/>
    <w:unhideWhenUsed/>
    <w:pPr>
      <w:widowControl/>
      <w:suppressAutoHyphens w:val="true"/>
      <w:bidi w:val="0"/>
      <w:spacing w:lineRule="auto" w:line="240" w:before="0" w:after="40"/>
      <w:jc w:val="left"/>
    </w:pPr>
    <w:rPr>
      <w:rFonts w:ascii="Times New Roman" w:hAnsi="Times New Roman" w:eastAsia="NSimSun" w:cs="Mangal"/>
      <w:color w:val="auto"/>
      <w:kern w:val="0"/>
      <w:sz w:val="18"/>
      <w:szCs w:val="20"/>
      <w:lang w:val="ru-RU" w:eastAsia="zh-CN" w:bidi="ar-SA"/>
    </w:rPr>
  </w:style>
  <w:style w:type="paragraph" w:styleId="Style20">
    <w:name w:val="Endnote Text"/>
    <w:link w:val="801"/>
    <w:uiPriority w:val="99"/>
    <w:semiHidden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1">
    <w:name w:val="TOC 1"/>
    <w:uiPriority w:val="39"/>
    <w:unhideWhenUsed/>
    <w:pPr>
      <w:widowControl/>
      <w:suppressAutoHyphens w:val="true"/>
      <w:bidi w:val="0"/>
      <w:spacing w:before="0" w:after="57"/>
      <w:ind w:left="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21">
    <w:name w:val="TOC 2"/>
    <w:uiPriority w:val="39"/>
    <w:unhideWhenUsed/>
    <w:pPr>
      <w:widowControl/>
      <w:suppressAutoHyphens w:val="true"/>
      <w:bidi w:val="0"/>
      <w:spacing w:before="0" w:after="57"/>
      <w:ind w:left="283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31">
    <w:name w:val="TOC 3"/>
    <w:uiPriority w:val="39"/>
    <w:unhideWhenUsed/>
    <w:pPr>
      <w:widowControl/>
      <w:suppressAutoHyphens w:val="true"/>
      <w:bidi w:val="0"/>
      <w:spacing w:before="0" w:after="57"/>
      <w:ind w:left="56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41">
    <w:name w:val="TOC 4"/>
    <w:uiPriority w:val="39"/>
    <w:unhideWhenUsed/>
    <w:pPr>
      <w:widowControl/>
      <w:suppressAutoHyphens w:val="true"/>
      <w:bidi w:val="0"/>
      <w:spacing w:before="0" w:after="57"/>
      <w:ind w:left="85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51">
    <w:name w:val="TOC 5"/>
    <w:uiPriority w:val="39"/>
    <w:unhideWhenUsed/>
    <w:pPr>
      <w:widowControl/>
      <w:suppressAutoHyphens w:val="true"/>
      <w:bidi w:val="0"/>
      <w:spacing w:before="0" w:after="57"/>
      <w:ind w:left="113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61">
    <w:name w:val="TOC 6"/>
    <w:uiPriority w:val="39"/>
    <w:unhideWhenUsed/>
    <w:pPr>
      <w:widowControl/>
      <w:suppressAutoHyphens w:val="true"/>
      <w:bidi w:val="0"/>
      <w:spacing w:before="0" w:after="57"/>
      <w:ind w:left="141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71">
    <w:name w:val="TOC 7"/>
    <w:uiPriority w:val="39"/>
    <w:unhideWhenUsed/>
    <w:pPr>
      <w:widowControl/>
      <w:suppressAutoHyphens w:val="true"/>
      <w:bidi w:val="0"/>
      <w:spacing w:before="0" w:after="57"/>
      <w:ind w:left="1701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81">
    <w:name w:val="TOC 8"/>
    <w:uiPriority w:val="39"/>
    <w:unhideWhenUsed/>
    <w:pPr>
      <w:widowControl/>
      <w:suppressAutoHyphens w:val="true"/>
      <w:bidi w:val="0"/>
      <w:spacing w:before="0" w:after="57"/>
      <w:ind w:left="198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91">
    <w:name w:val="TOC 9"/>
    <w:uiPriority w:val="39"/>
    <w:unhideWhenUsed/>
    <w:pPr>
      <w:widowControl/>
      <w:suppressAutoHyphens w:val="true"/>
      <w:bidi w:val="0"/>
      <w:spacing w:before="0" w:after="57"/>
      <w:ind w:left="2268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suppressAutoHyphens w:val="true"/>
      <w:bidi w:val="0"/>
      <w:spacing w:before="0" w:afterAutospacing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1">
    <w:name w:val="Обычный"/>
    <w:link w:val="81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ru-RU" w:bidi="ar-SA"/>
    </w:rPr>
  </w:style>
  <w:style w:type="paragraph" w:styleId="ConsPlusTitle">
    <w:name w:val="ConsPlusTitle"/>
    <w:link w:val="81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b/>
      <w:bCs/>
      <w:color w:val="auto"/>
      <w:kern w:val="0"/>
      <w:sz w:val="28"/>
      <w:szCs w:val="28"/>
      <w:lang w:val="ru-RU" w:eastAsia="ru-RU" w:bidi="ar-SA"/>
    </w:rPr>
  </w:style>
  <w:style w:type="paragraph" w:styleId="Style22">
    <w:name w:val="Знак"/>
    <w:basedOn w:val="Style21"/>
    <w:link w:val="814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Style25">
    <w:name w:val="Нет списка"/>
    <w:link w:val="814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LibreOffice/7.2.0.4$Windows_X86_64 LibreOffice_project/9a9c6381e3f7a62afc1329bd359cc48accb6435b</Application>
  <AppVersion>15.0000</AppVersion>
  <Pages>2</Pages>
  <Words>248</Words>
  <Characters>1559</Characters>
  <CharactersWithSpaces>1920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2022-03-29T13:27:15Z</cp:lastPrinted>
  <dcterms:modified xsi:type="dcterms:W3CDTF">2022-03-31T15:54:04Z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