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11" w:after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      Контрольно-счетной комиссией  Ровеньского района  в  соответствии с планом работы на 2023 год, проведена проверка  средств, выделенных на финансовое обеспечение муниципального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задания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 на  оказание муници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пальных  услуг в МБОУ «</w:t>
      </w:r>
      <w:r>
        <w:rPr>
          <w:rFonts w:ascii="Tinos" w:hAnsi="Tinos" w:cs="Tinos" w:eastAsia="Tinos"/>
          <w:sz w:val="28"/>
          <w:szCs w:val="28"/>
        </w:rPr>
        <w:t xml:space="preserve">Калиниченковская начальная  общеобразовательная школа Ровеньского района Белгородской области»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в 2022 году и первом  квартале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 2023 года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jc w:val="both"/>
        <w:spacing w:lineRule="auto" w:line="211" w:after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По результатам проведенного контрольного мероприятия  установлено.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jc w:val="both"/>
        <w:spacing w:lineRule="auto" w:line="211" w:after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На выполнение муниципальн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ого задания  для  МБОУ «</w:t>
      </w:r>
      <w:r>
        <w:rPr>
          <w:rFonts w:ascii="Tinos" w:hAnsi="Tinos" w:cs="Tinos" w:eastAsia="Tinos"/>
          <w:sz w:val="28"/>
          <w:szCs w:val="28"/>
          <w:highlight w:val="white"/>
        </w:rPr>
      </w:r>
      <w:r>
        <w:rPr>
          <w:rFonts w:ascii="Tinos" w:hAnsi="Tinos" w:cs="Tinos" w:eastAsia="Tinos"/>
          <w:sz w:val="28"/>
          <w:szCs w:val="28"/>
        </w:rPr>
        <w:t xml:space="preserve">Калиниченковская начальная  общеобразовательная школа Ровеньского района Белгородской области</w:t>
      </w:r>
      <w:r/>
      <w:r>
        <w:rPr>
          <w:rFonts w:ascii="Tinos" w:hAnsi="Tinos" w:cs="Tinos" w:eastAsia="Tinos"/>
          <w:sz w:val="28"/>
          <w:szCs w:val="28"/>
          <w:highlight w:val="white"/>
        </w:rPr>
        <w:t xml:space="preserve">»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(далее МБОУ «Калиниченковская школа»)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в 2022 году предост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авлена  субсидия в сумме 3661,75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тыс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.р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убле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й, израсходована в сумме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3842,74 тыс.рублей,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дефицитом 180,99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тыс. рублей.</w:t>
      </w:r>
      <w:r>
        <w:rPr>
          <w:rFonts w:ascii="Tinos" w:hAnsi="Tinos" w:cs="Tinos" w:eastAsia="Tinos"/>
          <w:sz w:val="28"/>
          <w:highlight w:val="none"/>
        </w:rPr>
        <w:t xml:space="preserve"> Источник покрытия дефицита остаток средств субсидии на 01.01.2022 года в сумме   242,79тыс.рублей.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 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  <w:lang w:eastAsia="en-US"/>
        </w:rPr>
        <w:t xml:space="preserve">В нарушение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  <w:lang w:eastAsia="en-US"/>
        </w:rPr>
        <w:t xml:space="preserve">п.15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прика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за Минфина от 21.07.2011 года №86н «Об установлении порядка предоставления информации государственным (муниципальным) учреждениям, ее размещения на официальном сайте в сети интернет и ведение указанного сайта»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  <w:lang w:eastAsia="en-US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МБОУ «Калиниченковская школа»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 не обеспечивала своевременное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  <w:lang w:eastAsia="en-US"/>
        </w:rPr>
        <w:t xml:space="preserve">размещение на сайте bus.gov.ru   информации.</w:t>
      </w: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yellow"/>
        </w:rPr>
      </w:r>
      <w:r>
        <w:rPr>
          <w:rFonts w:ascii="Tinos" w:hAnsi="Tinos" w:cs="Tinos" w:eastAsia="Tinos" w:eastAsiaTheme="minorHAnsi"/>
          <w:sz w:val="28"/>
          <w:szCs w:val="28"/>
        </w:rPr>
        <w:t xml:space="preserve">В ходе проверки оплаты  труда работников установлено.</w:t>
      </w:r>
      <w:r>
        <w:rPr>
          <w:rFonts w:ascii="Tinos" w:hAnsi="Tinos" w:cs="Tinos" w:eastAsia="Tinos" w:eastAsiaTheme="minorHAnsi"/>
          <w:sz w:val="28"/>
          <w:szCs w:val="28"/>
        </w:rPr>
        <w:t xml:space="preserve">Табель учета использования рабочего времени   (Ф.0504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421) </w:t>
      </w:r>
      <w:r>
        <w:rPr>
          <w:rFonts w:ascii="Tinos" w:hAnsi="Tinos" w:cs="Tinos" w:eastAsia="Tinos" w:eastAsiaTheme="minorHAnsi"/>
          <w:color w:val="000000"/>
          <w:sz w:val="28"/>
          <w:szCs w:val="28"/>
          <w:highlight w:val="none"/>
        </w:rPr>
        <w:t xml:space="preserve">заполняется с нарушение требований  установленных учетной политикой  и Приказом  № 52н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.</w:t>
      </w: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В нарушение  Приказа № 52н , п.7 ст.9 федерального закона  402-ФЗ «О бухгалтерском учете»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от 6.12.2011г. в расчетной ведомости  (ф.0504402) отсутствует обязательный  реквизит «подпись руководителя учреждения»  в заглавной части .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</w:t>
      </w:r>
      <w:r>
        <w:rPr>
          <w:rFonts w:eastAsiaTheme="minorHAnsi"/>
        </w:rPr>
      </w: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sz w:val="28"/>
          <w:highlight w:val="none"/>
        </w:rPr>
      </w:r>
    </w:p>
    <w:p>
      <w:pPr>
        <w:jc w:val="both"/>
        <w:spacing w:lineRule="auto" w:line="235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Сумма неэффективно использованных средств субсидии на выплату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стимулирующей  доплаты   за  2022 год и первое полугод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ие 2023 года составила     131147 рублей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  25 коп.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b/>
          <w:sz w:val="28"/>
          <w:highlight w:val="none"/>
          <w:u w:val="none"/>
        </w:rPr>
      </w:r>
      <w:r>
        <w:rPr>
          <w:rFonts w:ascii="Tinos" w:hAnsi="Tinos" w:cs="Tinos" w:eastAsia="Tinos" w:eastAsiaTheme="minorHAnsi"/>
          <w:sz w:val="28"/>
          <w:u w:val="none"/>
        </w:rPr>
        <w:t xml:space="preserve">Неэффективно использованные средства субсидии на оплату труда внутреннего совместителя</w:t>
      </w:r>
      <w:r>
        <w:rPr>
          <w:rFonts w:ascii="Tinos" w:hAnsi="Tinos" w:cs="Tinos" w:eastAsia="Tinos" w:eastAsiaTheme="minorHAnsi"/>
          <w:sz w:val="28"/>
          <w:u w:val="none"/>
        </w:rPr>
        <w:t xml:space="preserve">  по должности оператор котельной   составили 48712 рублей  55 коп.</w:t>
      </w: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sz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В нарушение п.68 Инструкции №157н аналитический учет объектов нематериальных активов </w:t>
      </w:r>
      <w:r>
        <w:rPr>
          <w:rFonts w:ascii="Tinos" w:hAnsi="Tinos" w:cs="Tinos" w:eastAsia="Tinos" w:eastAsiaTheme="minorHAnsi"/>
          <w:color w:val="auto"/>
          <w:sz w:val="28"/>
          <w:szCs w:val="28"/>
          <w:highlight w:val="none"/>
        </w:rPr>
        <w:t xml:space="preserve"> 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 не осуществлен в  </w:t>
      </w:r>
      <w:hyperlink r:id="rId9" w:tooltip="https://base.garant.ru/70951956/172a6d689833ce3e42dc0a8a7b3cddf9/#block_4010" w:history="1">
        <w:r>
          <w:rPr>
            <w:rStyle w:val="792"/>
            <w:rFonts w:ascii="Tinos" w:hAnsi="Tinos" w:cs="Tinos" w:eastAsia="Tinos" w:eastAsiaTheme="minorHAnsi"/>
            <w:color w:val="auto"/>
            <w:sz w:val="28"/>
            <w:highlight w:val="none"/>
            <w:u w:val="none"/>
          </w:rPr>
          <w:t xml:space="preserve">Инвентарной карточке</w:t>
        </w:r>
      </w:hyperlink>
      <w:r>
        <w:rPr>
          <w:rFonts w:ascii="Tinos" w:hAnsi="Tinos" w:cs="Tinos" w:eastAsia="Tinos" w:eastAsiaTheme="minorHAnsi"/>
          <w:color w:val="auto"/>
          <w:sz w:val="28"/>
          <w:highlight w:val="none"/>
          <w:u w:val="none"/>
        </w:rPr>
        <w:t xml:space="preserve"> 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учета нефинансовых активов. </w:t>
      </w:r>
      <w:r>
        <w:rPr>
          <w:rFonts w:eastAsiaTheme="minorHAnsi"/>
        </w:rPr>
      </w: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sz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</w:rPr>
        <w:t xml:space="preserve">В нарушение п.1 ст.516 Гражданского кодекса РФ, п.1 ч.2 ст.94 Федерального закона  №44-ФЗ , п.4.2  </w:t>
      </w:r>
      <w:r>
        <w:rPr>
          <w:rFonts w:ascii="Tinos" w:hAnsi="Tinos" w:cs="Tinos" w:eastAsia="Tinos" w:eastAsiaTheme="minorHAnsi"/>
          <w:sz w:val="28"/>
          <w:u w:val="none"/>
        </w:rPr>
        <w:t xml:space="preserve"> оплата за поставку товара осуществлена с нарушением установленных сроков.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  <w:highlight w:val="white"/>
        </w:rPr>
      </w:pP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По результатам проведенного контрольного мероприятия были направлены: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</w:r>
      <w:r>
        <w:rPr>
          <w:rFonts w:eastAsiaTheme="minorHAnsi"/>
        </w:rPr>
      </w:r>
    </w:p>
    <w:p>
      <w:pPr>
        <w:jc w:val="both"/>
        <w:spacing w:lineRule="auto" w:line="211" w:after="0"/>
        <w:rPr>
          <w:rFonts w:ascii="Tinos" w:hAnsi="Tinos" w:cs="Tinos" w:eastAsia="Tinos"/>
          <w:highlight w:val="white"/>
        </w:rPr>
      </w:pP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- представ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ление директору  МБОУ «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Калиниченковская школа »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;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11" w:after="0"/>
        <w:rPr>
          <w:rFonts w:ascii="Tinos" w:hAnsi="Tinos" w:cs="Tinos" w:eastAsia="Tinos"/>
        </w:rPr>
      </w:pP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-информационное письмо начальнику управления образования  администрации Ровеньского района.</w:t>
      </w: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yellow"/>
        </w:rPr>
      </w:r>
      <w:r>
        <w:rPr>
          <w:rFonts w:ascii="Times New Roman" w:hAnsi="Times New Roman" w:cs="Times New Roman" w:eastAsiaTheme="minorHAnsi"/>
          <w:sz w:val="28"/>
          <w:szCs w:val="28"/>
          <w:highlight w:val="yellow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highlight w:val="yellow"/>
        </w:rPr>
      </w:pPr>
      <w:r>
        <w:rPr>
          <w:rFonts w:eastAsiaTheme="minorHAnsi"/>
          <w:highlight w:val="yellow"/>
        </w:rPr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Председатель 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Контрольно-счетной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highlight w:val="yellow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комиссии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  <w:t xml:space="preserve">Ровеньского района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ab/>
        <w:t xml:space="preserve">                    Л.А.Курочка </w:t>
      </w:r>
      <w:r>
        <w:rPr>
          <w:rFonts w:ascii="Times New Roman" w:hAnsi="Times New Roman" w:cs="Times New Roman" w:eastAsiaTheme="minorHAnsi"/>
          <w:sz w:val="28"/>
          <w:szCs w:val="28"/>
          <w:highlight w:val="yellow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base.garant.ru/70951956/172a6d689833ce3e42dc0a8a7b3cddf9/#block_401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2023-09-29T11:13:13Z</dcterms:modified>
</cp:coreProperties>
</file>