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32"/>
        </w:rPr>
      </w:pPr>
      <w:r>
        <w:rPr>
          <w:rFonts w:eastAsia="Times New Roman" w:cs="Times New Roman" w:ascii="Times New Roman" w:hAnsi="Times New Roman"/>
          <w:sz w:val="28"/>
          <w:szCs w:val="32"/>
        </w:rPr>
        <w:t>Р О С С И Й С К А Я   Ф Е Д Е Р А Ц И Я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32"/>
        </w:rPr>
      </w:pPr>
      <w:r>
        <w:rPr>
          <w:rFonts w:eastAsia="Times New Roman" w:cs="Times New Roman" w:ascii="Times New Roman" w:hAnsi="Times New Roman"/>
          <w:sz w:val="28"/>
          <w:szCs w:val="32"/>
        </w:rPr>
        <w:t>Б Е Л Г О Р О Д С К А Я    О Б Л А С Т Ь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  <w:szCs w:val="16"/>
        </w:rPr>
      </w:pPr>
      <w:r>
        <w:rPr>
          <w:rFonts w:eastAsia="Times New Roman" w:cs="Times New Roman" w:ascii="Times New Roman" w:hAnsi="Times New Roman"/>
          <w:b/>
          <w:sz w:val="28"/>
          <w:szCs w:val="16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39" r="-7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  <w:szCs w:val="16"/>
        </w:rPr>
      </w:pPr>
      <w:r>
        <w:rPr>
          <w:rFonts w:eastAsia="Times New Roman" w:cs="Times New Roman" w:ascii="Times New Roman" w:hAnsi="Times New Roman"/>
          <w:b/>
          <w:sz w:val="28"/>
          <w:szCs w:val="16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«РОВЕНЬСКИЙ РАЙОН»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ТРЕТЬЕГО СОЗЫВА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 Е Ш Е Н И Е                     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left="0" w:right="0" w:hanging="0"/>
        <w:jc w:val="lef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28 июля </w:t>
      </w:r>
      <w:r>
        <w:rPr>
          <w:rFonts w:eastAsia="Times New Roman" w:cs="Times New Roman" w:ascii="Times New Roman" w:hAnsi="Times New Roman"/>
          <w:sz w:val="28"/>
        </w:rPr>
        <w:t>2023 г.</w:t>
      </w:r>
      <w:r>
        <w:rPr>
          <w:rFonts w:eastAsia="Times New Roman" w:cs="Times New Roman" w:ascii="Times New Roman" w:hAnsi="Times New Roman"/>
          <w:b/>
          <w:sz w:val="28"/>
        </w:rPr>
        <w:t xml:space="preserve">             </w:t>
        <w:tab/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b/>
          <w:sz w:val="28"/>
        </w:rPr>
        <w:t>67</w:t>
      </w:r>
      <w:r>
        <w:rPr>
          <w:rFonts w:eastAsia="Times New Roman" w:cs="Times New Roman" w:ascii="Times New Roman" w:hAnsi="Times New Roman"/>
          <w:sz w:val="28"/>
        </w:rPr>
        <w:t>/</w:t>
      </w:r>
      <w:r>
        <w:rPr>
          <w:rFonts w:eastAsia="Times New Roman" w:cs="Times New Roman" w:ascii="Times New Roman" w:hAnsi="Times New Roman"/>
          <w:b/>
          <w:bCs/>
          <w:sz w:val="28"/>
        </w:rPr>
        <w:t>459</w:t>
      </w:r>
    </w:p>
    <w:p>
      <w:pPr>
        <w:pStyle w:val="Normal"/>
        <w:ind w:left="0" w:right="0" w:hanging="0"/>
        <w:jc w:val="left"/>
        <w:rPr>
          <w:rFonts w:ascii="Times New Roman" w:hAnsi="Times New Roman" w:eastAsia="Times New Roman" w:cs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left="0" w:right="0" w:hanging="0"/>
        <w:jc w:val="left"/>
        <w:rPr>
          <w:rFonts w:ascii="Times New Roman" w:hAnsi="Times New Roman" w:eastAsia="Times New Roman" w:cs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5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lineRule="exact" w:line="283" w:before="0" w:after="14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внесении изменений в решение Муниципального совета Ровеньского района от 20 августа 2021 года №39/295 «Об утверждении Положения о муниципальном жилищном контроле на территории Ровеньского района»</w:t>
            </w:r>
          </w:p>
          <w:p>
            <w:pPr>
              <w:pStyle w:val="Style12"/>
              <w:widowControl w:val="false"/>
              <w:spacing w:before="0" w:after="14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 е ш и л:</w:t>
      </w:r>
    </w:p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eastAsia="Times New Roman" w:cs="Times New Roman"/>
          <w:b w:val="false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Внести изменения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Положение о муниципальном жилищном контроле на территории Ровеньского района, утвержденное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решением Муниципального совета Ровеньского района от 20 августа 2021 года №39/295 «Об утверждении Положения о муниципальном жилищном контроле на территории Ровеньского района», изложив приложение № 1 к Положению в новой редакции (прилагается).</w:t>
      </w:r>
    </w:p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2. К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онтроль за исполнением данного решения возложить на администрацию Ровеньского района (Киричкова Т.В.)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3.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6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6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  <w:tab/>
        <w:t>Ровеньского района                                                      В.А. Некрасов</w:t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/>
          <w:sz w:val="28"/>
          <w:szCs w:val="28"/>
          <w:highlight w:val="white"/>
          <w:shd w:fill="FFFF00" w:val="clear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/>
          <w:sz w:val="28"/>
          <w:szCs w:val="28"/>
          <w:highlight w:val="white"/>
          <w:shd w:fill="FFFF00" w:val="clear"/>
        </w:rPr>
        <w:t>Приложение № 1</w:t>
      </w:r>
    </w:p>
    <w:p>
      <w:pPr>
        <w:pStyle w:val="Normal"/>
        <w:shd w:val="nil" w:color="auto"/>
        <w:ind w:left="0" w:right="0" w:hanging="0"/>
        <w:jc w:val="right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к Положению о муниципальном </w:t>
      </w:r>
    </w:p>
    <w:p>
      <w:pPr>
        <w:pStyle w:val="Normal"/>
        <w:shd w:val="nil" w:color="auto"/>
        <w:ind w:left="0" w:right="0" w:hanging="0"/>
        <w:jc w:val="right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жилищном контроле на территории 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Ровеньского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shd w:fill="FFFF00" w:val="clear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shd w:fill="FFFF00" w:val="clear"/>
        </w:rPr>
      </w:r>
    </w:p>
    <w:p>
      <w:pPr>
        <w:pStyle w:val="Normal"/>
        <w:shd w:val="nil" w:color="auto"/>
        <w:spacing w:lineRule="exact" w:line="283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Индикаторы риска нарушения обязательных требований</w:t>
      </w: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</w:rPr>
        <w:t xml:space="preserve">, </w:t>
      </w:r>
    </w:p>
    <w:p>
      <w:pPr>
        <w:pStyle w:val="Normal"/>
        <w:shd w:val="nil" w:color="auto"/>
        <w:spacing w:lineRule="exact" w:line="283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sz w:val="28"/>
          <w:szCs w:val="28"/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highlight w:val="white"/>
        </w:rPr>
        <w:t>используемые в качестве основания для проведения контрольных мероприятий при осуществлении 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на территории Ровеньского района</w:t>
      </w:r>
    </w:p>
    <w:p>
      <w:pPr>
        <w:pStyle w:val="Normal"/>
        <w:shd w:val="nil" w:color="000000"/>
        <w:spacing w:lineRule="exact" w:line="283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(новая редакция)</w:t>
      </w:r>
    </w:p>
    <w:p>
      <w:pPr>
        <w:pStyle w:val="Normal"/>
        <w:shd w:val="nil" w:color="auto"/>
        <w:spacing w:lineRule="exact" w:line="283" w:before="0" w:after="0"/>
        <w:ind w:left="0" w:right="0" w:hanging="0"/>
        <w:contextualSpacing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  <w:shd w:fill="FFFF00" w:val="clear"/>
        </w:rPr>
      </w:r>
    </w:p>
    <w:p>
      <w:pPr>
        <w:pStyle w:val="Normal"/>
        <w:shd w:val="nil" w:color="auto"/>
        <w:spacing w:lineRule="exact" w:line="283" w:before="0" w:after="0"/>
        <w:ind w:left="0" w:right="0" w:hanging="0"/>
        <w:contextualSpacing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  <w:shd w:fill="FFFF00" w:val="clear"/>
        </w:rPr>
      </w:r>
    </w:p>
    <w:p>
      <w:pPr>
        <w:pStyle w:val="ListParagraph"/>
        <w:numPr>
          <w:ilvl w:val="0"/>
          <w:numId w:val="1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shd w:fill="FFFF00" w:val="clear"/>
        </w:rPr>
      </w:pPr>
      <w:r>
        <w:rPr>
          <w:rFonts w:eastAsia="Arial" w:ascii="Times New Roman" w:hAnsi="Times New Roman" w:eastAsiaTheme="minorHAnsi"/>
          <w:bCs/>
          <w:sz w:val="28"/>
          <w:szCs w:val="28"/>
          <w:lang w:eastAsia="en-US"/>
        </w:rPr>
        <w:t>Поступление от трёх и более обращений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, поступивших в орган муниципального контроля способом, позволяющим</w:t>
      </w: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 xml:space="preserve"> установить личность обратившегося гражданина,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</w:t>
      </w:r>
      <w:r>
        <w:rPr>
          <w:rFonts w:eastAsia="Arial" w:ascii="Times New Roman" w:hAnsi="Times New Roman" w:eastAsiaTheme="minorHAnsi"/>
          <w:bCs/>
          <w:sz w:val="28"/>
          <w:szCs w:val="28"/>
          <w:lang w:eastAsia="en-US"/>
        </w:rPr>
        <w:t>, свидетельствующих о возможном факте нарушения обязательных требований, установленных часть</w:t>
      </w:r>
      <w:r>
        <w:rPr>
          <w:rFonts w:eastAsia="Arial" w:ascii="Times New Roman" w:hAnsi="Times New Roman" w:eastAsiaTheme="minorHAnsi"/>
          <w:bCs/>
          <w:sz w:val="28"/>
          <w:szCs w:val="28"/>
          <w:highlight w:val="white"/>
          <w:lang w:eastAsia="en-US"/>
        </w:rPr>
        <w:t xml:space="preserve">ю 4 </w:t>
      </w:r>
      <w:r>
        <w:rPr>
          <w:rFonts w:eastAsia="Arial" w:ascii="Times New Roman" w:hAnsi="Times New Roman" w:eastAsiaTheme="minorHAnsi"/>
          <w:bCs/>
          <w:sz w:val="28"/>
          <w:szCs w:val="28"/>
          <w:lang w:eastAsia="en-US"/>
        </w:rPr>
        <w:t>статьи 20 Жилищного кодекса Российской Федерации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.</w:t>
      </w:r>
    </w:p>
    <w:sectPr>
      <w:type w:val="nextPage"/>
      <w:pgSz w:w="11906" w:h="16838"/>
      <w:pgMar w:left="1500" w:right="716" w:gutter="0" w:header="0" w:top="1134" w:footer="0" w:bottom="7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Символ нумерации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 (веб)"/>
    <w:basedOn w:val="Normal"/>
    <w:qFormat/>
    <w:pPr>
      <w:spacing w:before="0" w:after="89"/>
    </w:pPr>
    <w:rPr/>
  </w:style>
  <w:style w:type="numbering" w:styleId="NoList" w:default="1">
    <w:name w:val="No List"/>
    <w:uiPriority w:val="99"/>
    <w:semiHidden/>
    <w:unhideWhenUsed/>
    <w:qFormat/>
  </w:style>
  <w:style w:type="table" w:styleId="640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2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3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4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5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6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47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5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6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7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8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9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0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1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2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69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0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1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2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3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4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5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2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89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6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4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5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6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7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08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09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0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1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2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38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9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0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1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2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3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4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5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312</Words>
  <Characters>2004</Characters>
  <CharactersWithSpaces>2456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2023-07-31T08:20:19Z</cp:lastPrinted>
  <dcterms:modified xsi:type="dcterms:W3CDTF">2023-08-02T13:21:31Z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