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/>
          <w:sz w:val="28"/>
          <w:szCs w:val="28"/>
        </w:rPr>
        <w:t xml:space="preserve">  </w:t>
      </w:r>
      <w:r>
        <w:rPr>
          <w:rFonts w:ascii="Tinos" w:hAnsi="Tinos" w:cs="Tinos" w:eastAsia="Tinos"/>
          <w:b/>
          <w:sz w:val="28"/>
          <w:szCs w:val="28"/>
        </w:rPr>
        <w:t xml:space="preserve">Отчет</w:t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/>
          <w:sz w:val="28"/>
          <w:szCs w:val="28"/>
        </w:rPr>
        <w:t xml:space="preserve">о деятельности Контрольно-счетной</w:t>
        <w:tab/>
        <w:t xml:space="preserve"> комиссии</w:t>
      </w:r>
      <w:r>
        <w:rPr>
          <w:rFonts w:ascii="Tinos" w:hAnsi="Tinos" w:cs="Tinos" w:eastAsia="Tinos"/>
          <w:b/>
          <w:sz w:val="28"/>
          <w:szCs w:val="28"/>
        </w:rPr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/>
          <w:sz w:val="28"/>
          <w:szCs w:val="28"/>
        </w:rPr>
        <w:t xml:space="preserve">Ровеньского района за 2022</w:t>
      </w:r>
      <w:r>
        <w:rPr>
          <w:rFonts w:ascii="Tinos" w:hAnsi="Tinos" w:cs="Tinos" w:eastAsia="Tinos"/>
          <w:b/>
          <w:sz w:val="28"/>
          <w:szCs w:val="28"/>
        </w:rPr>
        <w:t xml:space="preserve"> год.</w:t>
      </w:r>
      <w:r>
        <w:rPr>
          <w:rFonts w:ascii="Tinos" w:hAnsi="Tinos" w:cs="Tinos" w:eastAsia="Tinos"/>
          <w:b/>
          <w:sz w:val="28"/>
          <w:szCs w:val="28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highlight w:val="green"/>
        </w:rPr>
      </w:pPr>
      <w:r>
        <w:rPr>
          <w:rFonts w:ascii="Tinos" w:hAnsi="Tinos" w:cs="Tinos" w:eastAsia="Tinos"/>
          <w:b/>
          <w:sz w:val="28"/>
          <w:szCs w:val="28"/>
          <w:highlight w:val="green"/>
        </w:rPr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Style w:val="866"/>
          <w:rFonts w:ascii="Tinos" w:hAnsi="Tinos" w:cs="Tinos" w:eastAsia="Tinos"/>
          <w:b w:val="false"/>
          <w:sz w:val="28"/>
          <w:szCs w:val="28"/>
        </w:rPr>
        <w:t xml:space="preserve">          Отчет о деятельности Контрольно-счетной коми</w:t>
      </w:r>
      <w:r>
        <w:rPr>
          <w:rStyle w:val="866"/>
          <w:rFonts w:ascii="Tinos" w:hAnsi="Tinos" w:cs="Tinos" w:eastAsia="Tinos"/>
          <w:b w:val="false"/>
          <w:sz w:val="28"/>
          <w:szCs w:val="28"/>
        </w:rPr>
        <w:t xml:space="preserve">ссии Ровеньского района  за 2022</w:t>
      </w:r>
      <w:r>
        <w:rPr>
          <w:rStyle w:val="866"/>
          <w:rFonts w:ascii="Tinos" w:hAnsi="Tinos" w:cs="Tinos" w:eastAsia="Tinos"/>
          <w:b w:val="false"/>
          <w:sz w:val="28"/>
          <w:szCs w:val="28"/>
        </w:rPr>
        <w:t xml:space="preserve"> год  подготовлен на основании требований </w:t>
      </w:r>
      <w:r>
        <w:rPr>
          <w:rFonts w:ascii="Tinos" w:hAnsi="Tinos" w:cs="Tinos" w:eastAsia="Tinos"/>
          <w:sz w:val="28"/>
          <w:szCs w:val="28"/>
        </w:rPr>
        <w:t xml:space="preserve">ст. 19 Федерального закона от 7.02. 2011 года  № 6-ФЗ «Об общих принципах организации и</w:t>
      </w:r>
      <w:r>
        <w:rPr>
          <w:rFonts w:ascii="Tinos" w:hAnsi="Tinos" w:cs="Tinos" w:eastAsia="Tinos"/>
          <w:sz w:val="28"/>
          <w:szCs w:val="28"/>
        </w:rPr>
        <w:t xml:space="preserve"> деятельности контрольно-счетных органов субъектов Российской Федерации и муниципальных образований»,ст.20 Положения о контрольно-счетной комиссии Ровеньского района утвержденного решением Муниципального совета Ровеньского района от 24.11.2021г. № 42/315. </w:t>
      </w:r>
      <w:r>
        <w:rPr>
          <w:rFonts w:ascii="Tinos" w:hAnsi="Tinos" w:cs="Tinos" w:eastAsia="Tinos"/>
          <w:color w:val="1A1A1A"/>
          <w:sz w:val="28"/>
        </w:rPr>
        <w:t xml:space="preserve">Отчет о деятельности Контрольно-счетной комиссии  за 2022 год , утвержден распоряжение контрольно-счетной комисс Ровеньского района от 27.02.2023года № 122.</w:t>
      </w:r>
      <w:r>
        <w:rPr>
          <w:rStyle w:val="866"/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Style w:val="866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color w:val="000000"/>
          <w:highlight w:val="none"/>
        </w:rPr>
      </w:pPr>
      <w:r>
        <w:rPr>
          <w:rStyle w:val="866"/>
          <w:rFonts w:ascii="Tinos" w:hAnsi="Tinos" w:cs="Tinos" w:eastAsia="Tinos"/>
          <w:sz w:val="28"/>
          <w:szCs w:val="28"/>
        </w:rPr>
        <w:t xml:space="preserve">   </w:t>
      </w:r>
      <w:r>
        <w:rPr>
          <w:rStyle w:val="866"/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 отчетном периоде Контрольно-счетной комиссией Ровеньского района   в соответствии с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планом  работы,  утвержденным распоряжением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от  28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.01.2022</w:t>
      </w:r>
      <w:r>
        <w:rPr>
          <w:rStyle w:val="866"/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года</w:t>
      </w:r>
      <w:r>
        <w:rPr>
          <w:rStyle w:val="866"/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№ 6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,</w:t>
      </w:r>
      <w:r>
        <w:rPr>
          <w:rStyle w:val="866"/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проведено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6 контрольных  и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48 экспертно-аналитических мероприятий.</w:t>
      </w:r>
      <w:r>
        <w:rPr>
          <w:rFonts w:ascii="Tinos" w:hAnsi="Tinos" w:cs="Tinos" w:eastAsia="Tinos"/>
          <w:color w:val="000000"/>
          <w:sz w:val="28"/>
          <w:szCs w:val="28"/>
          <w:highlight w:val="none"/>
          <w:shd w:val="clear" w:fill="FFFFFF" w:color="auto"/>
        </w:rPr>
        <w:t xml:space="preserve">  </w:t>
      </w:r>
      <w:r>
        <w:rPr>
          <w:rFonts w:ascii="Tinos" w:hAnsi="Tinos" w:cs="Tinos" w:eastAsia="Tinos"/>
          <w:bCs w:val="false"/>
          <w:color w:val="000000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lineRule="auto" w:line="235"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1A1A1A"/>
          <w:sz w:val="28"/>
        </w:rPr>
        <w:t xml:space="preserve">   По </w:t>
      </w:r>
      <w:r>
        <w:rPr>
          <w:rFonts w:ascii="Tinos" w:hAnsi="Tinos" w:cs="Tinos" w:eastAsia="Tinos"/>
          <w:color w:val="1A1A1A"/>
          <w:sz w:val="28"/>
        </w:rPr>
        <w:t xml:space="preserve">результатам </w:t>
      </w:r>
      <w:r>
        <w:rPr>
          <w:rFonts w:ascii="Tinos" w:hAnsi="Tinos" w:cs="Tinos" w:eastAsia="Tinos"/>
          <w:color w:val="1A1A1A"/>
          <w:sz w:val="28"/>
        </w:rPr>
        <w:t xml:space="preserve">контрольных </w:t>
      </w:r>
      <w:r>
        <w:rPr>
          <w:rFonts w:ascii="Tinos" w:hAnsi="Tinos" w:cs="Tinos" w:eastAsia="Tinos"/>
          <w:color w:val="1A1A1A"/>
          <w:sz w:val="28"/>
        </w:rPr>
        <w:t xml:space="preserve">и </w:t>
      </w:r>
      <w:r>
        <w:rPr>
          <w:rFonts w:ascii="Tinos" w:hAnsi="Tinos" w:cs="Tinos" w:eastAsia="Tinos"/>
          <w:color w:val="1A1A1A"/>
          <w:sz w:val="28"/>
        </w:rPr>
        <w:t xml:space="preserve">экспертно-аналитических  </w:t>
      </w:r>
      <w:r>
        <w:rPr>
          <w:rFonts w:ascii="Tinos" w:hAnsi="Tinos" w:cs="Tinos" w:eastAsia="Tinos"/>
          <w:color w:val="1A1A1A"/>
          <w:sz w:val="28"/>
        </w:rPr>
        <w:t xml:space="preserve">мероприятий</w:t>
      </w:r>
      <w:r>
        <w:rPr>
          <w:rFonts w:ascii="Tinos" w:hAnsi="Tinos" w:cs="Tinos" w:eastAsia="Tinos"/>
          <w:sz w:val="28"/>
        </w:rPr>
      </w:r>
      <w:r/>
    </w:p>
    <w:p>
      <w:pPr>
        <w:ind w:left="0" w:right="0" w:firstLine="0"/>
        <w:jc w:val="both"/>
        <w:spacing w:lineRule="auto" w:line="235" w:after="0" w:before="0"/>
        <w:shd w:val="clear" w:color="FFFFFF"/>
        <w:rPr>
          <w:rFonts w:ascii="Tinos" w:hAnsi="Tinos" w:cs="Tinos" w:eastAsia="Tinos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/>
          <w:color w:val="1A1A1A"/>
          <w:sz w:val="28"/>
        </w:rPr>
        <w:t xml:space="preserve">подготовлено 54 (пятьдесят четыре) материала (отчеты, заключения), направлено 7 информационных писем.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   Контроль за использованием средств местных бюджетов  поселений осуществлялся Контрольно-счетной комиссией Ровеньского района  на основе соглашений, заключенных с сельскими поселениями, входящими в состав муниципального района.</w:t>
      </w:r>
      <w:r>
        <w:rPr>
          <w:rFonts w:ascii="Tinos" w:hAnsi="Tinos" w:cs="Tinos" w:eastAsia="Tinos"/>
          <w:sz w:val="28"/>
        </w:rPr>
      </w:r>
      <w:r/>
    </w:p>
    <w:p>
      <w:pPr>
        <w:jc w:val="left"/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b w:val="false"/>
          <w:bCs w:val="false"/>
          <w:sz w:val="28"/>
          <w:szCs w:val="28"/>
        </w:rPr>
      </w:r>
      <w:r>
        <w:rPr>
          <w:rStyle w:val="866"/>
        </w:rPr>
      </w:r>
      <w:r/>
    </w:p>
    <w:p>
      <w:pPr>
        <w:jc w:val="center"/>
        <w:spacing w:lineRule="auto" w:line="276" w:after="0" w:afterAutospacing="0"/>
        <w:rPr>
          <w:rFonts w:ascii="Tinos" w:hAnsi="Tinos" w:cs="Tinos" w:eastAsia="Tinos"/>
          <w:b w:val="false"/>
          <w:bCs w:val="false"/>
          <w:sz w:val="28"/>
        </w:rPr>
      </w:pPr>
      <w:r>
        <w:rPr>
          <w:rStyle w:val="866"/>
          <w:rFonts w:ascii="Tinos" w:hAnsi="Tinos" w:cs="Tinos" w:eastAsia="Tinos"/>
          <w:b/>
          <w:sz w:val="28"/>
          <w:szCs w:val="28"/>
        </w:rPr>
        <w:t xml:space="preserve">Контрольная деятельность.</w:t>
      </w:r>
      <w:r>
        <w:rPr>
          <w:rFonts w:ascii="Tinos" w:hAnsi="Tinos" w:cs="Tinos" w:eastAsia="Tinos"/>
          <w:b/>
          <w:bCs w:val="false"/>
          <w:sz w:val="28"/>
        </w:rPr>
      </w:r>
      <w:r/>
    </w:p>
    <w:p>
      <w:pPr>
        <w:jc w:val="both"/>
        <w:spacing w:lineRule="auto" w:line="240" w:after="0" w:afterAutospacing="0"/>
        <w:rPr>
          <w:rStyle w:val="866"/>
          <w:rFonts w:ascii="Tinos" w:hAnsi="Tinos" w:cs="Tinos" w:eastAsia="Tinos"/>
          <w:b w:val="false"/>
          <w:bCs w:val="false"/>
          <w:sz w:val="28"/>
          <w:szCs w:val="28"/>
          <w:highlight w:val="none"/>
        </w:rPr>
      </w:pPr>
      <w:r>
        <w:rPr>
          <w:rStyle w:val="866"/>
          <w:rFonts w:ascii="Tinos" w:hAnsi="Tinos" w:cs="Tinos" w:eastAsia="Tinos"/>
          <w:b w:val="false"/>
          <w:sz w:val="28"/>
          <w:szCs w:val="28"/>
        </w:rPr>
        <w:t xml:space="preserve">   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В 2022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году Контрольно-счетной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комиссией провед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ено 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6 контрольных мероп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риятий, проверками  охвачены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6 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м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униципальных 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учреждений.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Общий объем проверенных бюджетных средств</w:t>
      </w: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составил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  <w:t xml:space="preserve">65269,88 тыс.рублей. </w:t>
      </w:r>
      <w:r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</w:r>
      <w:r/>
    </w:p>
    <w:p>
      <w:pPr>
        <w:jc w:val="both"/>
        <w:spacing w:lineRule="auto" w:line="240" w:after="0" w:afterAutospacing="0"/>
        <w:widowControl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По результатам</w:t>
      </w:r>
      <w:r>
        <w:rPr>
          <w:rFonts w:ascii="Tinos" w:hAnsi="Tinos" w:cs="Tinos" w:eastAsia="Tinos"/>
          <w:sz w:val="28"/>
          <w:szCs w:val="28"/>
        </w:rPr>
        <w:t xml:space="preserve"> контрольных  мероприятий </w:t>
      </w:r>
      <w:r>
        <w:rPr>
          <w:rFonts w:ascii="Tinos" w:hAnsi="Tinos" w:cs="Tinos" w:eastAsia="Tinos"/>
          <w:sz w:val="28"/>
          <w:szCs w:val="28"/>
        </w:rPr>
        <w:t xml:space="preserve"> Контрольно- счетной комиссией  выявлено нарушений  на </w:t>
      </w:r>
      <w:r>
        <w:rPr>
          <w:rFonts w:ascii="Tinos" w:hAnsi="Tinos" w:cs="Tinos" w:eastAsia="Tinos"/>
          <w:sz w:val="28"/>
          <w:szCs w:val="28"/>
        </w:rPr>
        <w:t xml:space="preserve">сумму </w:t>
      </w:r>
      <w:r>
        <w:rPr>
          <w:rFonts w:ascii="Tinos" w:hAnsi="Tinos" w:cs="Tinos" w:eastAsia="Tinos"/>
          <w:sz w:val="28"/>
          <w:szCs w:val="28"/>
        </w:rPr>
        <w:t xml:space="preserve">  215,63 </w:t>
      </w:r>
      <w:r>
        <w:rPr>
          <w:rFonts w:ascii="Tinos" w:hAnsi="Tinos" w:cs="Tinos" w:eastAsia="Tinos"/>
          <w:sz w:val="28"/>
          <w:szCs w:val="28"/>
        </w:rPr>
        <w:t xml:space="preserve">тыс.рублей  из них: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40" w:after="0" w:afterAutospacing="0"/>
        <w:widowControl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tbl>
      <w:tblPr>
        <w:tblStyle w:val="716"/>
        <w:tblW w:w="0" w:type="auto"/>
        <w:tblLook w:val="04A0" w:firstRow="1" w:lastRow="0" w:firstColumn="1" w:lastColumn="0" w:noHBand="0" w:noVBand="1"/>
      </w:tblPr>
      <w:tblGrid>
        <w:gridCol w:w="594"/>
        <w:gridCol w:w="6320"/>
        <w:gridCol w:w="2657"/>
      </w:tblGrid>
      <w:tr>
        <w:trPr/>
        <w:tc>
          <w:tcPr>
            <w:tcW w:w="580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№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п/п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Наименование нарушений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Сумма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(кол-во/тыс.рублей)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</w:tr>
      <w:tr>
        <w:trPr/>
        <w:tc>
          <w:tcPr>
            <w:tcW w:w="580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1.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Нарушения в ходе исполнения бюджета.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18/0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</w:tr>
      <w:tr>
        <w:trPr/>
        <w:tc>
          <w:tcPr>
            <w:tcW w:w="580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Нарушение в сфере  управления и распоряжения муниципальной собственностью.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2/215,63</w:t>
            </w:r>
            <w:r/>
          </w:p>
        </w:tc>
      </w:tr>
      <w:tr>
        <w:trPr>
          <w:trHeight w:val="305"/>
        </w:trPr>
        <w:tc>
          <w:tcPr>
            <w:tcW w:w="580" w:type="dxa"/>
            <w:vMerge w:val="restart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3.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vMerge w:val="restart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Нарушения установленных единых требований к бюджетному учету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2/0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</w:tr>
      <w:tr>
        <w:trPr/>
        <w:tc>
          <w:tcPr>
            <w:tcW w:w="580" w:type="dxa"/>
            <w:vMerge w:val="restart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4.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vMerge w:val="restart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Нарушения при осуществлении  закупок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vMerge w:val="restart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2/0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</w:tr>
      <w:tr>
        <w:trPr/>
        <w:tc>
          <w:tcPr>
            <w:tcW w:w="580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Итого нарушений 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24/215,63</w:t>
            </w:r>
            <w:r/>
          </w:p>
        </w:tc>
      </w:tr>
      <w:tr>
        <w:trPr/>
        <w:tc>
          <w:tcPr>
            <w:tcW w:w="580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5.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6332" w:type="dxa"/>
            <w:textDirection w:val="lrTb"/>
            <w:noWrap w:val="false"/>
          </w:tcPr>
          <w:p>
            <w:pPr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Неэффективное использование бюджетных средств в ходе исполнения бюджета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  <w:tc>
          <w:tcPr>
            <w:tcW w:w="2659" w:type="dxa"/>
            <w:textDirection w:val="lrTb"/>
            <w:noWrap w:val="false"/>
          </w:tcPr>
          <w:p>
            <w:pPr>
              <w:jc w:val="center"/>
              <w:spacing w:lineRule="atLeast" w:line="270" w:after="0" w:afterAutospacing="0"/>
              <w:rPr>
                <w:rFonts w:ascii="Tinos" w:hAnsi="Tinos" w:cs="Tinos" w:eastAsia="Tinos"/>
                <w:sz w:val="28"/>
                <w:szCs w:val="28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1/16,40</w:t>
            </w:r>
            <w:r>
              <w:rPr>
                <w:rFonts w:ascii="Tinos" w:hAnsi="Tinos" w:cs="Tinos" w:eastAsia="Tinos"/>
                <w:sz w:val="28"/>
                <w:szCs w:val="28"/>
              </w:rPr>
            </w:r>
            <w:r/>
          </w:p>
        </w:tc>
      </w:tr>
    </w:tbl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  </w:t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В результате </w:t>
      </w:r>
      <w:r>
        <w:rPr>
          <w:rFonts w:ascii="Tinos" w:hAnsi="Tinos" w:cs="Tinos" w:eastAsia="Tinos"/>
          <w:b w:val="false"/>
          <w:sz w:val="28"/>
        </w:rPr>
        <w:t xml:space="preserve">проверки использования средств, выделенных на </w:t>
      </w:r>
      <w:r>
        <w:rPr>
          <w:b w:val="false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</w:rPr>
      </w:pPr>
      <w:r>
        <w:rPr>
          <w:rFonts w:ascii="Tinos" w:hAnsi="Tinos" w:cs="Tinos" w:eastAsia="Tinos"/>
          <w:b w:val="false"/>
          <w:sz w:val="28"/>
        </w:rPr>
        <w:t xml:space="preserve">финансовое обеспечение муниципального задания  на оказание муниципальных услуг </w:t>
      </w:r>
      <w:r>
        <w:rPr>
          <w:rFonts w:ascii="Tinos" w:hAnsi="Tinos" w:cs="Tinos" w:eastAsia="Tinos"/>
          <w:b w:val="false"/>
          <w:sz w:val="28"/>
          <w:szCs w:val="28"/>
        </w:rPr>
        <w:t xml:space="preserve">в </w:t>
      </w:r>
      <w:r>
        <w:rPr>
          <w:rFonts w:ascii="Tinos" w:hAnsi="Tinos" w:cs="Tinos" w:eastAsia="Tinos"/>
          <w:b w:val="false"/>
          <w:sz w:val="28"/>
          <w:szCs w:val="28"/>
        </w:rPr>
        <w:t xml:space="preserve">МБ</w:t>
      </w:r>
      <w:r>
        <w:rPr>
          <w:rFonts w:ascii="Tinos" w:hAnsi="Tinos" w:cs="Tinos" w:eastAsia="Tinos"/>
          <w:b w:val="false"/>
          <w:sz w:val="28"/>
          <w:szCs w:val="28"/>
        </w:rPr>
        <w:t xml:space="preserve">ДОУ «</w:t>
      </w:r>
      <w:r>
        <w:rPr>
          <w:rFonts w:ascii="Tinos" w:hAnsi="Tinos" w:cs="Tinos" w:eastAsia="Tinos"/>
          <w:b w:val="false"/>
          <w:sz w:val="28"/>
          <w:szCs w:val="28"/>
        </w:rPr>
        <w:t xml:space="preserve">Наголенский детский сад «Березка</w:t>
      </w:r>
      <w:r>
        <w:rPr>
          <w:rFonts w:ascii="Tinos" w:hAnsi="Tinos" w:cs="Tinos" w:eastAsia="Tinos"/>
          <w:b w:val="false"/>
          <w:sz w:val="28"/>
        </w:rPr>
        <w:t xml:space="preserve">» в 2021 году  и первом квартале 2022года,   установлены  11 нарушений  на сумму </w:t>
      </w:r>
      <w:r>
        <w:rPr>
          <w:rFonts w:ascii="Tinos" w:hAnsi="Tinos" w:cs="Tinos" w:eastAsia="Tinos"/>
          <w:b w:val="false"/>
          <w:sz w:val="28"/>
        </w:rPr>
        <w:t xml:space="preserve">181,10тыс.рублей  из них: </w:t>
      </w:r>
      <w:r>
        <w:rPr>
          <w:b w:val="false"/>
        </w:rPr>
      </w:r>
      <w:r/>
    </w:p>
    <w:p>
      <w:pPr>
        <w:pStyle w:val="864"/>
        <w:numPr>
          <w:ilvl w:val="0"/>
          <w:numId w:val="15"/>
        </w:numPr>
        <w:jc w:val="both"/>
        <w:spacing w:lineRule="atLeast" w:line="270" w:after="0" w:afterAutospacing="0"/>
        <w:shd w:val="clear" w:fill="FFFFFF" w:color="auto"/>
        <w:rPr>
          <w:rFonts w:ascii="Tinos" w:hAnsi="Tinos" w:cs="Tinos" w:eastAsia="Tinos"/>
          <w:b w:val="false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  <w:highlight w:val="none"/>
        </w:rPr>
        <w:t xml:space="preserve">в ходе исполнения бюджета  7  нарушений (количественных)  к ним относятся:</w:t>
      </w:r>
      <w:r>
        <w:rPr>
          <w:b w:val="false"/>
        </w:rPr>
      </w:r>
      <w:r/>
    </w:p>
    <w:p>
      <w:pPr>
        <w:ind w:left="0" w:right="0" w:firstLine="0"/>
        <w:jc w:val="both"/>
        <w:spacing w:lineRule="auto" w:line="238" w:after="0" w:afterAutospacing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-нарушение порядка предоставления информации государственным (муниципальным) учреждениям, ее размещения на официальном сайте в сети интернет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, не обеспечено своевременное размещение  информации учреждением;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-нарушение требований  порядка составления и утверждения плана финансово-хозяйственной деятельности 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предъявляемых к срокам утверждения  плана финансово-хозяйственной деятельности;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не включен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 в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ЕГРЮЛ  вид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 деятельности - предоставление прочих социальных услуг без обеспечения проживания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,по которому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 сформировано муниципальное задание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;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нарушение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положения о распределении стимулирующей части фонда оплаты труда, для установления стимулирующих выплат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не оформлялись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«оценочные листы» обслуживающего персонала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;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  <w:u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нарушение требований Трудового кодекса ,работникам 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по совмещаемой должности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не  определены  объем и содержание выполняемой работы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не оформлен технический паспорт на здание «овощехранилище» расположенное на территории детского сада, не зарегистрировано право собственности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не в полной объеме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 осуществлялась 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работа по взысканию задолженности родительской платы за присмотр и уход  за детьми в учреждении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 , сумма задолженности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на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01.01.2022 года  составила  24,48тыс.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рублей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6"/>
        </w:numPr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нарушения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требований, предъявляемых к применению правил ведения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бюджетного (бухгалтерского) учета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8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9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не отражено увеличение стоимости земельного участка с 01.01.2022 года  ,  в связи с изменением кадастровой стоимости земли на 01.01.2022 года;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lineRule="auto" w:line="238" w:after="0" w:before="0"/>
        <w:shd w:val="clear" w:color="FFFFFF"/>
        <w:rPr>
          <w:rFonts w:ascii="Tinos" w:hAnsi="Tinos" w:cs="Tinos" w:eastAsia="Tinos"/>
          <w:color w:val="1A1A1A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sz w:val="28"/>
          <w:highlight w:val="none"/>
        </w:rPr>
        <w:t xml:space="preserve">-не заполняются обязательные реквизиты  в инвентарных   карточках учета  нефинансовых активов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 по учету основных средств.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7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b w:val="false"/>
          <w:bCs w:val="false"/>
          <w:sz w:val="28"/>
          <w:szCs w:val="28"/>
          <w:highlight w:val="none"/>
        </w:rPr>
      </w:pP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нарушения порядка распоряжения имуществом бюджетного учреж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дения: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color w:val="auto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-осуществлен  учет объектов основных средств по счету «Основные средства – особо ценное движимое имущество учреждения»  на сумму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181,10 тыс.рублей, не определенное учредителем как особо ценное движимое имущество.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6"/>
        </w:numPr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bCs/>
          <w:sz w:val="28"/>
          <w:szCs w:val="28"/>
          <w:highlight w:val="none"/>
        </w:rPr>
        <w:t xml:space="preserve">н</w:t>
      </w:r>
      <w:r>
        <w:rPr>
          <w:rFonts w:ascii="Tinos" w:hAnsi="Tinos" w:cs="Tinos" w:eastAsia="Tinos" w:eastAsiaTheme="minorHAnsi"/>
          <w:bCs/>
          <w:sz w:val="28"/>
          <w:szCs w:val="28"/>
          <w:highlight w:val="none"/>
        </w:rPr>
        <w:t xml:space="preserve">арушения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при осуществлении закупок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н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арушения условий реализации контрактов (договоров) (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ст.94  № 44-ФЗ )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, в том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числе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нарушение  сроков оплаты  за  поставленные товары </w:t>
      </w:r>
      <w:r>
        <w:rPr>
          <w:rFonts w:ascii="Tinos" w:hAnsi="Tinos" w:cs="Tinos" w:eastAsia="Tinos" w:eastAsiaTheme="minorHAnsi"/>
          <w:b/>
          <w:sz w:val="28"/>
          <w:szCs w:val="28"/>
          <w:highlight w:val="non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3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color w:val="auto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Проверкой </w:t>
      </w: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  <w:t xml:space="preserve"> финансово-х</w:t>
      </w: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  <w:t xml:space="preserve">озяйственной деятельности в МКУ «Единая дежурно-диспетчерская служба Ровеньского района Белгородской области»</w:t>
      </w: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  <w:t xml:space="preserve"> в 2021 году и первом полугодии 2022года  выявлены 4  нарушения (количественные)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4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b w:val="false"/>
          <w:color w:val="auto"/>
          <w:sz w:val="28"/>
          <w:highlight w:val="none"/>
        </w:rPr>
      </w:pP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  <w:t xml:space="preserve">в ходе исполнения бюджета  3  нарушения  к ним относятся: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нарушение требований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федерального закона «О некоммерческих организациях» от 12.01.1996 г. № 7-ФЗ  в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устав учреждения включены сведения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не соответствующие требованиям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действующего законодательства;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-нарушение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порядка обеспечения открытости и доступности сведений, содержащихся в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документах,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путем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размещения их в 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сети «Интернет», не обеспечено своевременное размещение бюджетной сметы на 2022 год;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sz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нарушение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предъявляемых к  форме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и заполнению отчета;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5"/>
        </w:numPr>
        <w:spacing w:lineRule="atLeast" w:line="27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нарушения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требований, предъявляемых к применению правил ведения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бюджетного (бухгалтерского) учета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-не отражены материальные запасы (мягкий инвентарь)  выданные в пользование  на забалансовом счете,  в карточке </w:t>
      </w:r>
      <w:r>
        <w:rPr>
          <w:rFonts w:ascii="Tinos" w:hAnsi="Tinos" w:cs="Tinos" w:eastAsia="Tinos" w:eastAsiaTheme="minorHAnsi"/>
          <w:color w:val="000000"/>
          <w:sz w:val="28"/>
          <w:highlight w:val="none"/>
        </w:rPr>
        <w:t xml:space="preserve">учета выдачи имущества в пользование</w:t>
      </w:r>
      <w:r>
        <w:rPr>
          <w:rFonts w:ascii="Tinos" w:hAnsi="Tinos" w:cs="Tinos" w:eastAsia="Tinos" w:eastAsiaTheme="minorHAnsi"/>
          <w:color w:val="000000"/>
          <w:sz w:val="28"/>
          <w:highlight w:val="none"/>
        </w:rPr>
        <w:t xml:space="preserve">  работникам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.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Неэффективное использование бюджетных средств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в результате 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приобретения материальных запасов (мягкого инвентаря) в отсутствие  нормативно-правового акта регулирующего потребность в данных материалах на сумму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16,40тыс.рублей 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  В результате  проверки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использования средств,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выделенных на финансовое обеспечение муниципального задания  на оказани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е муниципальных услуг 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МБОУ «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Пристеньская  основная общеобразовательная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школа  Ровеньского района Белгородской области» в 2021 году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и первом 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полугодии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2022 года установлено  7 нарушений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  на сумму 34,53тыс.рублей 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1"/>
        </w:numPr>
        <w:jc w:val="both"/>
        <w:spacing w:lineRule="atLeast" w:line="270" w:after="0" w:afterAutospacing="0"/>
        <w:shd w:val="clear" w:fill="FFFFFF" w:color="auto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в ходе исполнения бюджета  5  нарушений (количественных)  к ним относятся: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38" w:after="0" w:afterAutospacing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порядка предоставления информации государственным (муниципальным) учреждениям, ее размещения на официальном сайте в сети интернет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, не обеспечено своевременное размещение  информации учреждением;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-нарушение требований порядка формирования муниципального задания на оказание муниципальных услуг,предъявляемых к форме отчета 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о выполнении муниципального  задания  и заполнению обязательных реквизитов;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  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                                                              </w:t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не в полной объеме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осуществлялась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работа по взысканию задолженности родительской платы за присмотр и уход  в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учреждении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, сумма задолженности на </w:t>
      </w:r>
      <w:r>
        <w:rPr>
          <w:rFonts w:ascii="Tinos" w:hAnsi="Tinos" w:cs="Tinos" w:eastAsia="PT Sans" w:eastAsiaTheme="minorHAnsi"/>
          <w:sz w:val="28"/>
          <w:szCs w:val="28"/>
          <w:highlight w:val="none"/>
        </w:rPr>
        <w:t xml:space="preserve">01.07.2022 года  составила  26,19тыс.</w:t>
      </w:r>
      <w:r>
        <w:rPr>
          <w:rFonts w:ascii="Tinos" w:hAnsi="Tinos" w:cs="Tinos" w:eastAsia="PT Sans" w:eastAsiaTheme="minorHAnsi"/>
          <w:sz w:val="28"/>
          <w:szCs w:val="28"/>
          <w:highlight w:val="none"/>
        </w:rPr>
        <w:t xml:space="preserve">рублей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нарушение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положения о распределении стимулирующей части фонда оплаты труда, работниками для установления стимулирующих выплат предоставлялись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«оценочные листы»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с незаполненными обязательными реквизитами;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нарушение требований Трудового кодекса ,работнику 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по совмещаемой должности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не  определены  объем и содержание выполняемой работы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; 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9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highlight w:val="none"/>
        </w:rPr>
      </w:pP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нарушения порядка распоряжения имуществом бюджетного учреж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дения: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mes New Roman" w:hAnsi="Times New Roman" w:cs="Times New Roman"/>
          <w:sz w:val="29"/>
          <w:szCs w:val="29"/>
          <w:highlight w:val="none"/>
        </w:rPr>
      </w:pPr>
      <w:r>
        <w:rPr>
          <w:rFonts w:ascii="Tinos" w:hAnsi="Tinos" w:cs="Tinos" w:eastAsia="Tinos" w:eastAsiaTheme="minorHAnsi"/>
          <w:b w:val="false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-осуществлен </w:t>
      </w:r>
      <w:r>
        <w:rPr>
          <w:rFonts w:ascii="Tinos" w:hAnsi="Tinos" w:cs="Tinos" w:eastAsia="Tinos" w:eastAsiaTheme="minorHAnsi"/>
          <w:sz w:val="28"/>
          <w:szCs w:val="28"/>
          <w:highlight w:val="none"/>
          <w:u w:val="none"/>
        </w:rPr>
        <w:t xml:space="preserve"> учет объектов недвижимого имущества  , права на которые подлежат в соответствии с законодательством РФ государственной регистрации,  на сумму 34,53 тыс.рублей.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0"/>
        </w:num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bCs/>
          <w:sz w:val="28"/>
          <w:szCs w:val="28"/>
          <w:highlight w:val="none"/>
        </w:rPr>
        <w:t xml:space="preserve">н</w:t>
      </w:r>
      <w:r>
        <w:rPr>
          <w:rFonts w:ascii="Tinos" w:hAnsi="Tinos" w:cs="Tinos" w:eastAsia="Tinos" w:eastAsiaTheme="minorHAnsi"/>
          <w:bCs/>
          <w:sz w:val="28"/>
          <w:szCs w:val="28"/>
          <w:highlight w:val="none"/>
        </w:rPr>
        <w:t xml:space="preserve">арушения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при осуществлении закупок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-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н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арушения условий реализации контрактов (договоров) (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ст.9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4  № 44-ФЗ )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, в том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числе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 </w:t>
      </w:r>
      <w:r>
        <w:rPr>
          <w:rFonts w:ascii="Times New Roman" w:hAnsi="Times New Roman" w:cs="Times New Roman" w:eastAsiaTheme="minorHAnsi"/>
          <w:sz w:val="29"/>
          <w:szCs w:val="29"/>
          <w:highlight w:val="none"/>
        </w:rPr>
        <w:t xml:space="preserve">нарушение  сроков оплаты  за  поставленные товары </w:t>
      </w:r>
      <w:r>
        <w:rPr>
          <w:rFonts w:ascii="Tinos" w:hAnsi="Tinos" w:cs="Tinos" w:eastAsia="Tinos" w:eastAsiaTheme="minorHAnsi"/>
          <w:b/>
          <w:sz w:val="28"/>
          <w:szCs w:val="28"/>
          <w:highlight w:val="non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По результатам анализа 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 </w:t>
      </w:r>
      <w:r>
        <w:rPr>
          <w:rFonts w:ascii="Times New Roman" w:hAnsi="Times New Roman" w:cs="Times New Roman" w:eastAsiaTheme="minorHAnsi"/>
          <w:b w:val="false"/>
          <w:sz w:val="28"/>
          <w:szCs w:val="28"/>
          <w:highlight w:val="none"/>
        </w:rPr>
        <w:t xml:space="preserve">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  в Управлении социальной защиты населения администраци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и  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Ровеньского района </w:t>
      </w:r>
      <w:r>
        <w:rPr>
          <w:rFonts w:ascii="Tinos" w:hAnsi="Tinos" w:cs="Tinos" w:eastAsia="Tinos" w:eastAsiaTheme="minorHAnsi"/>
          <w:b w:val="false"/>
          <w:sz w:val="28"/>
          <w:highlight w:val="none"/>
        </w:rPr>
        <w:t xml:space="preserve">в 2021 году , выявлено 2 нарушения 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2"/>
        </w:numPr>
        <w:jc w:val="both"/>
        <w:spacing w:lineRule="atLeast" w:line="270" w:after="0" w:afterAutospacing="0"/>
        <w:shd w:val="clear" w:fill="FFFFFF" w:color="auto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</w:r>
      <w:r>
        <w:rPr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в ходе исполнения бюджета  2  нарушения (количественные)  к ним относятся: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  <w:u w:val="none"/>
        </w:rPr>
      </w:pP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-несоблюдение  Порядка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предоставления государственной соц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иальной помощи на основании социального контракта ,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з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аявителем 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 не использованы в сроки установленные программой социальной адаптаци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и денежные средства;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  <w:u w:val="none"/>
        </w:rPr>
      </w:pP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-не в полном об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ъеме осуществлялся контроль специалистами за целевым использованием денежных средств:в 6 личных делах к отчетам  приложены   документы  содержащие не все реквизиты и без кассовых чеков,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в 12 личных делах </w:t>
      </w:r>
      <w:r>
        <w:rPr>
          <w:rFonts w:ascii="Tinos" w:hAnsi="Tinos" w:cs="Tinos" w:eastAsia="Tinos" w:eastAsiaTheme="minorHAnsi"/>
          <w:sz w:val="28"/>
          <w:highlight w:val="none"/>
          <w:u w:val="none"/>
        </w:rPr>
        <w:t xml:space="preserve">отсутствовало    ветеринарное свидетельство на приобретенных животных 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  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По   результатам  проведенных  контрольны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х  мероприятий     в адрес  проверяемых объектов направлено 4 представления для рассмотрения и принятия мер по устранению выявленных нарушений и недостатков, по привлечению к дисциплинарной ответственности должностных лиц, виновных в допущенных нарушениях.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yellow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 По всем внесенным представлениям получена информация, согласно которой приняты меры по устранению и недопущению в дальнейшем выявленных нарушений и недостатков.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В  результате мер, пр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инятых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объектами контроля,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устр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анено нарушений на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сумму 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215,63тыс.рублей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, к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дисциплинар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ной ответственности привлечены 2  должностных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лиц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 w:afterAutospacing="0"/>
        <w:rPr>
          <w:rFonts w:ascii="Tinos" w:hAnsi="Tinos" w:cs="Tinos" w:eastAsia="Tinos"/>
        </w:rPr>
      </w:pPr>
      <w:r>
        <w:rPr>
          <w:rStyle w:val="866"/>
          <w:rFonts w:ascii="Tinos" w:hAnsi="Tinos" w:cs="Tinos" w:eastAsia="Tinos" w:eastAsiaTheme="minorHAnsi"/>
          <w:sz w:val="28"/>
          <w:szCs w:val="28"/>
        </w:rPr>
        <w:t xml:space="preserve">Экспертно-аналитическая деятельность.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  В 2022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 году Контрольно- счетной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 комиссией проведен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о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48                                                                                  экспе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р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тно-аналитических мероприятий.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</w:rPr>
      </w:pPr>
      <w:r>
        <w:rPr>
          <w:rStyle w:val="866"/>
          <w:rFonts w:ascii="Tinos" w:hAnsi="Tinos" w:cs="Tinos" w:eastAsia="Tinos" w:eastAsiaTheme="minorHAnsi"/>
          <w:b w:val="false"/>
          <w:sz w:val="28"/>
          <w:szCs w:val="28"/>
          <w:highlight w:val="none"/>
        </w:rPr>
        <w:t xml:space="preserve">В рамках предварительного контроля </w:t>
      </w:r>
      <w:r>
        <w:rPr>
          <w:rFonts w:ascii="Tinos" w:hAnsi="Tinos" w:cs="Tinos" w:eastAsia="Tinos" w:eastAsiaTheme="minorHAnsi"/>
          <w:sz w:val="28"/>
          <w:szCs w:val="28"/>
        </w:rPr>
        <w:t xml:space="preserve">осуществлялась </w:t>
      </w:r>
      <w:r>
        <w:rPr>
          <w:rFonts w:ascii="Tinos" w:hAnsi="Tinos" w:cs="Tinos" w:eastAsia="Tinos" w:eastAsiaTheme="minorHAnsi"/>
          <w:sz w:val="28"/>
          <w:szCs w:val="28"/>
        </w:rPr>
        <w:t xml:space="preserve">экспертиза проекта решения Муниципального совета Ровеньского района  «О местном бюд</w:t>
      </w:r>
      <w:r>
        <w:rPr>
          <w:rFonts w:ascii="Tinos" w:hAnsi="Tinos" w:cs="Tinos" w:eastAsia="Tinos" w:eastAsiaTheme="minorHAnsi"/>
          <w:sz w:val="28"/>
          <w:szCs w:val="28"/>
        </w:rPr>
        <w:t xml:space="preserve">жете Ровеньского района  на 2023</w:t>
      </w:r>
      <w:r>
        <w:rPr>
          <w:rFonts w:ascii="Tinos" w:hAnsi="Tinos" w:cs="Tinos" w:eastAsia="Tinos" w:eastAsiaTheme="minorHAnsi"/>
          <w:sz w:val="28"/>
          <w:szCs w:val="28"/>
        </w:rPr>
        <w:t xml:space="preserve"> год и плано</w:t>
      </w:r>
      <w:r>
        <w:rPr>
          <w:rFonts w:ascii="Tinos" w:hAnsi="Tinos" w:cs="Tinos" w:eastAsia="Tinos" w:eastAsiaTheme="minorHAnsi"/>
          <w:sz w:val="28"/>
          <w:szCs w:val="28"/>
        </w:rPr>
        <w:t xml:space="preserve">вый период 2024 и 2025</w:t>
      </w:r>
      <w:r>
        <w:rPr>
          <w:rFonts w:ascii="Tinos" w:hAnsi="Tinos" w:cs="Tinos" w:eastAsia="Tinos" w:eastAsiaTheme="minorHAnsi"/>
          <w:sz w:val="28"/>
          <w:szCs w:val="28"/>
        </w:rPr>
        <w:t xml:space="preserve"> годов» на соответствие  действующему законодательству.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   Осуществлялся  ежеквартальный (первый квартал, полугодие , девять месяцев)  мониторинг </w:t>
      </w:r>
      <w:r>
        <w:rPr>
          <w:rFonts w:ascii="Tinos" w:hAnsi="Tinos" w:cs="Tinos" w:eastAsia="Tinos" w:eastAsiaTheme="minorHAnsi"/>
          <w:color w:val="auto"/>
          <w:sz w:val="28"/>
        </w:rPr>
        <w:t xml:space="preserve"> исполнения местного бюджета Ровеньского района в 2022 году.</w:t>
      </w:r>
      <w:r>
        <w:rPr>
          <w:rFonts w:ascii="Tinos" w:hAnsi="Tinos" w:cs="Tinos" w:eastAsia="Tinos" w:eastAsiaTheme="minorHAnsi"/>
          <w:color w:val="auto"/>
          <w:sz w:val="28"/>
        </w:rPr>
        <w:t xml:space="preserve">В ходе мониторинга проводился анализ исполнения основных показателей </w:t>
      </w:r>
      <w:r>
        <w:rPr>
          <w:rFonts w:ascii="Tinos" w:hAnsi="Tinos" w:cs="Tinos" w:eastAsia="Tinos" w:eastAsiaTheme="minorHAnsi"/>
          <w:color w:val="auto"/>
          <w:sz w:val="28"/>
        </w:rPr>
        <w:t xml:space="preserve">местного бюджета Ровеньского района  (по доходам, расходам и источникам дефицита)</w:t>
      </w:r>
      <w:r>
        <w:rPr>
          <w:rFonts w:ascii="Tinos" w:hAnsi="Tinos" w:cs="Tinos" w:eastAsia="Tinos" w:eastAsiaTheme="minorHAnsi"/>
          <w:color w:val="auto"/>
          <w:sz w:val="28"/>
        </w:rPr>
        <w:t xml:space="preserve">.</w:t>
      </w:r>
      <w:r>
        <w:rPr>
          <w:rFonts w:ascii="Tinos" w:hAnsi="Tinos" w:cs="Tinos" w:eastAsia="Tinos" w:eastAsiaTheme="minorHAnsi"/>
          <w:color w:val="auto"/>
          <w:sz w:val="28"/>
        </w:rPr>
        <w:t xml:space="preserve">Экспертно-аналитические мероприятия проводились на основании отчетов об </w:t>
      </w:r>
      <w:r>
        <w:rPr>
          <w:rFonts w:ascii="Tinos" w:hAnsi="Tinos" w:cs="Tinos" w:eastAsia="Tinos" w:eastAsiaTheme="minorHAnsi"/>
          <w:color w:val="auto"/>
          <w:sz w:val="28"/>
        </w:rPr>
        <w:t xml:space="preserve">исполнении местного бюджета Ровеньского района, утвержденных постановлениями </w:t>
      </w:r>
      <w:r>
        <w:rPr>
          <w:rFonts w:ascii="Tinos" w:hAnsi="Tinos" w:cs="Tinos" w:eastAsia="Tinos" w:eastAsiaTheme="minorHAnsi"/>
          <w:color w:val="auto"/>
          <w:sz w:val="28"/>
        </w:rPr>
        <w:t xml:space="preserve">администрации Ровеньского района  от 05.04.2022года № 169 (за 1 квартал 2022 года), от </w:t>
      </w:r>
      <w:r>
        <w:rPr>
          <w:rFonts w:ascii="Tinos" w:hAnsi="Tinos" w:cs="Tinos" w:eastAsia="Tinos" w:eastAsiaTheme="minorHAnsi"/>
          <w:color w:val="auto"/>
          <w:sz w:val="28"/>
        </w:rPr>
        <w:t xml:space="preserve"> 14.07.2022года № 382 (за 1 полугодие 2022 года), от 17.10.2022 № 532 (за 9 </w:t>
      </w:r>
      <w:r>
        <w:rPr>
          <w:rFonts w:ascii="Tinos" w:hAnsi="Tinos" w:cs="Tinos" w:eastAsia="Tinos" w:eastAsiaTheme="minorHAnsi"/>
          <w:color w:val="auto"/>
          <w:sz w:val="28"/>
        </w:rPr>
        <w:t xml:space="preserve">месяцев 2022 года).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38" w:after="0" w:afterAutospacing="0"/>
        <w:rPr>
          <w:rStyle w:val="866"/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В рамках последующего контроля : </w:t>
      </w:r>
      <w:r>
        <w:rPr>
          <w:rFonts w:ascii="Tinos" w:hAnsi="Tinos" w:cs="Tinos" w:eastAsia="Tinos" w:eastAsiaTheme="minorHAnsi"/>
          <w:sz w:val="28"/>
          <w:szCs w:val="28"/>
        </w:rPr>
        <w:t xml:space="preserve">подготовлено 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8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заключений о результатах внешней проверки годовой бюджетной отчетности главных  распорядителей бюдж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етных средств  за 2021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год</w:t>
      </w:r>
      <w:r>
        <w:rPr>
          <w:rFonts w:eastAsiaTheme="minorHAnsi"/>
        </w:rPr>
        <w:t xml:space="preserve">,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проведена внешняя проверка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годового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отчета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об исполнении местного бюдже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та Ровеньского района   за 2021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год.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spacing w:lineRule="auto" w:line="238" w:after="0" w:before="0"/>
        <w:shd w:val="clear" w:color="FFFFFF"/>
        <w:rPr>
          <w:rFonts w:ascii="Tinos" w:hAnsi="Tinos" w:cs="Tinos" w:eastAsia="Tinos"/>
          <w:color w:val="1A1A1A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1A1A1A"/>
          <w:sz w:val="28"/>
        </w:rPr>
        <w:t xml:space="preserve">В  соответствии с полномочиями проводилась экспертиза </w:t>
      </w:r>
      <w:r>
        <w:rPr>
          <w:rFonts w:ascii="Tinos" w:hAnsi="Tinos" w:cs="Tinos" w:eastAsia="Tinos" w:eastAsiaTheme="minorHAnsi"/>
          <w:color w:val="1A1A1A"/>
          <w:sz w:val="28"/>
        </w:rPr>
        <w:t xml:space="preserve">проектов решений </w:t>
      </w:r>
      <w:r>
        <w:rPr>
          <w:rFonts w:ascii="Tinos" w:hAnsi="Tinos" w:cs="Tinos" w:eastAsia="Tinos" w:eastAsiaTheme="minorHAnsi"/>
          <w:color w:val="1A1A1A"/>
          <w:sz w:val="28"/>
        </w:rPr>
        <w:t xml:space="preserve">Муниципального совета  Ровеньского района </w:t>
      </w:r>
      <w:r>
        <w:rPr>
          <w:rFonts w:ascii="Tinos" w:hAnsi="Tinos" w:cs="Tinos" w:eastAsia="Tinos" w:eastAsiaTheme="minorHAnsi"/>
          <w:color w:val="1A1A1A"/>
          <w:sz w:val="28"/>
        </w:rPr>
        <w:t xml:space="preserve">  </w:t>
      </w:r>
      <w:r>
        <w:rPr>
          <w:rFonts w:ascii="Tinos" w:hAnsi="Tinos" w:cs="Tinos" w:eastAsia="Tinos" w:eastAsiaTheme="minorHAnsi"/>
          <w:sz w:val="28"/>
        </w:rPr>
        <w:t xml:space="preserve">«О внесение изменений  в решение Муниципального совета Ровеньского района  от </w:t>
      </w:r>
      <w:r>
        <w:rPr>
          <w:rFonts w:ascii="Tinos" w:hAnsi="Tinos" w:cs="Tinos" w:eastAsia="Tinos" w:eastAsiaTheme="minorHAnsi"/>
          <w:sz w:val="28"/>
        </w:rPr>
        <w:t xml:space="preserve"> 22.12.2021 года     №  43/318</w:t>
      </w:r>
      <w:r>
        <w:rPr>
          <w:rFonts w:ascii="Tinos" w:hAnsi="Tinos" w:cs="Tinos" w:eastAsia="Tinos" w:eastAsiaTheme="minorHAnsi"/>
          <w:sz w:val="28"/>
        </w:rPr>
        <w:t xml:space="preserve"> «О местном бюджете  Ровеньского района на  2022 год и плановый  период 2023 и 2024 годов </w:t>
      </w:r>
      <w:r>
        <w:rPr>
          <w:rFonts w:ascii="Tinos" w:hAnsi="Tinos" w:cs="Tinos" w:eastAsia="Tinos" w:eastAsiaTheme="minorHAnsi"/>
          <w:sz w:val="28"/>
        </w:rPr>
        <w:t xml:space="preserve">»</w:t>
      </w:r>
      <w:r>
        <w:rPr>
          <w:rFonts w:ascii="Tinos" w:hAnsi="Tinos" w:cs="Tinos" w:eastAsia="Tinos" w:eastAsiaTheme="minorHAnsi"/>
          <w:sz w:val="28"/>
        </w:rPr>
        <w:t xml:space="preserve">  в течении 2022 года, подготовлено 7заключений.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color w:val="000000"/>
        </w:rPr>
      </w:pP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    В соответствии с  заключенными соглашениями с поселениями,  о передаче полномочий по муниципальному финансовому контролю в рамках предварит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ельного контроля проводился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 ежеквартальный мониторинг 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</w:rPr>
        <w:t xml:space="preserve">  исполнении  </w:t>
      </w:r>
      <w:r>
        <w:rPr>
          <w:rFonts w:ascii="Tinos" w:hAnsi="Tinos" w:cs="Tinos" w:eastAsia="Tinos" w:eastAsiaTheme="minorHAnsi"/>
          <w:sz w:val="28"/>
          <w:szCs w:val="28"/>
        </w:rPr>
        <w:t xml:space="preserve">бюджетов поселений за 2022 год</w:t>
      </w:r>
      <w:r>
        <w:rPr>
          <w:rFonts w:ascii="Tinos" w:hAnsi="Tinos" w:cs="Tinos" w:eastAsia="Tinos" w:eastAsiaTheme="minorHAnsi"/>
          <w:sz w:val="28"/>
          <w:szCs w:val="28"/>
        </w:rPr>
        <w:t xml:space="preserve">; </w:t>
      </w:r>
      <w:r>
        <w:rPr>
          <w:rFonts w:ascii="Tinos" w:hAnsi="Tinos" w:cs="Tinos" w:eastAsia="Tinos" w:eastAsiaTheme="minorHAnsi"/>
          <w:sz w:val="28"/>
          <w:szCs w:val="28"/>
        </w:rPr>
        <w:t xml:space="preserve">осуществлялась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экспертиз</w:t>
      </w: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а</w:t>
      </w:r>
      <w:r>
        <w:rPr>
          <w:rFonts w:ascii="Tinos" w:hAnsi="Tinos" w:cs="Tinos" w:eastAsia="Tinos" w:eastAsiaTheme="minorHAnsi"/>
          <w:sz w:val="28"/>
          <w:szCs w:val="28"/>
        </w:rPr>
        <w:t xml:space="preserve">  проектов местных бюджетов</w:t>
      </w:r>
      <w:r>
        <w:rPr>
          <w:rFonts w:ascii="Tinos" w:hAnsi="Tinos" w:cs="Tinos" w:eastAsia="Tinos" w:eastAsiaTheme="minorHAnsi"/>
          <w:sz w:val="28"/>
          <w:szCs w:val="28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</w:rPr>
        <w:t xml:space="preserve">поселений  на 2023</w:t>
      </w:r>
      <w:r>
        <w:rPr>
          <w:rFonts w:ascii="Tinos" w:hAnsi="Tinos" w:cs="Tinos" w:eastAsia="Tinos" w:eastAsiaTheme="minorHAnsi"/>
          <w:sz w:val="28"/>
          <w:szCs w:val="28"/>
        </w:rPr>
        <w:t xml:space="preserve"> год и плановый пе</w:t>
      </w:r>
      <w:r>
        <w:rPr>
          <w:rFonts w:ascii="Tinos" w:hAnsi="Tinos" w:cs="Tinos" w:eastAsia="Tinos" w:eastAsiaTheme="minorHAnsi"/>
          <w:sz w:val="28"/>
          <w:szCs w:val="28"/>
        </w:rPr>
        <w:t xml:space="preserve">риод 2024 и 2025</w:t>
      </w:r>
      <w:r>
        <w:rPr>
          <w:rFonts w:ascii="Tinos" w:hAnsi="Tinos" w:cs="Tinos" w:eastAsia="Tinos" w:eastAsiaTheme="minorHAnsi"/>
          <w:sz w:val="28"/>
          <w:szCs w:val="28"/>
        </w:rPr>
        <w:t xml:space="preserve"> годо</w:t>
      </w:r>
      <w:r>
        <w:rPr>
          <w:rFonts w:ascii="Tinos" w:hAnsi="Tinos" w:cs="Tinos" w:eastAsia="Tinos" w:eastAsiaTheme="minorHAnsi"/>
          <w:sz w:val="28"/>
          <w:szCs w:val="28"/>
        </w:rPr>
        <w:t xml:space="preserve">в</w:t>
      </w:r>
      <w:r>
        <w:rPr>
          <w:rFonts w:ascii="Tinos" w:hAnsi="Tinos" w:cs="Tinos" w:eastAsia="Tinos" w:eastAsiaTheme="minorHAnsi"/>
          <w:sz w:val="28"/>
          <w:szCs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  <w:szCs w:val="28"/>
        </w:rPr>
        <w:t xml:space="preserve">В рамках последующего контроля подготовлено  12 заключений на </w:t>
      </w:r>
      <w:r>
        <w:rPr>
          <w:rFonts w:ascii="Tinos" w:hAnsi="Tinos" w:cs="Tinos" w:eastAsia="Tinos" w:eastAsiaTheme="minorHAnsi"/>
          <w:sz w:val="28"/>
          <w:szCs w:val="28"/>
        </w:rPr>
        <w:t xml:space="preserve">годовые </w:t>
      </w:r>
      <w:r>
        <w:rPr>
          <w:rFonts w:ascii="Tinos" w:hAnsi="Tinos" w:cs="Tinos" w:eastAsia="Tinos" w:eastAsiaTheme="minorHAnsi"/>
          <w:sz w:val="28"/>
          <w:szCs w:val="28"/>
        </w:rPr>
        <w:t xml:space="preserve">отчеты об исполнении местных бю</w:t>
      </w:r>
      <w:r>
        <w:rPr>
          <w:rFonts w:ascii="Tinos" w:hAnsi="Tinos" w:cs="Tinos" w:eastAsia="Tinos" w:eastAsiaTheme="minorHAnsi"/>
          <w:sz w:val="28"/>
          <w:szCs w:val="28"/>
        </w:rPr>
        <w:t xml:space="preserve">джетов поселений за 2021</w:t>
      </w:r>
      <w:r>
        <w:rPr>
          <w:rFonts w:ascii="Tinos" w:hAnsi="Tinos" w:cs="Tinos" w:eastAsia="Tinos" w:eastAsiaTheme="minorHAnsi"/>
          <w:sz w:val="28"/>
          <w:szCs w:val="28"/>
        </w:rPr>
        <w:t xml:space="preserve"> год.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 w:eastAsiaTheme="minorHAnsi"/>
          <w:color w:val="000000"/>
          <w:sz w:val="28"/>
          <w:szCs w:val="28"/>
        </w:rPr>
        <w:t xml:space="preserve">    Заключения (отчеты)  по результатам экспертно-аналитических мероприятий направлялись в </w:t>
      </w:r>
      <w:r>
        <w:rPr>
          <w:rStyle w:val="866"/>
          <w:rFonts w:ascii="Tinos" w:hAnsi="Tinos" w:cs="Tinos" w:eastAsia="Tinos" w:eastAsiaTheme="minorHAnsi"/>
          <w:b w:val="false"/>
          <w:sz w:val="28"/>
          <w:szCs w:val="28"/>
        </w:rPr>
        <w:t xml:space="preserve">Муниципальный  совета муниципального района «Ровеньский  район», земские собрания сельских поселений, поселковое собрание  городского поселения  «Поселок Ровеньки».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b w:val="false"/>
          <w:sz w:val="28"/>
        </w:rPr>
        <w:t xml:space="preserve">В  2022 году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осуществлен анализ использования</w:t>
      </w:r>
      <w:r>
        <w:rPr>
          <w:rFonts w:ascii="Tinos" w:hAnsi="Tinos" w:cs="Tinos" w:eastAsia="Tinos" w:eastAsiaTheme="minorHAnsi"/>
          <w:b w:val="false"/>
          <w:sz w:val="28"/>
        </w:rPr>
        <w:t xml:space="preserve"> бюджетных средств на реализацию инициативных проектов    на территории муниципального района «Ровеньский район</w:t>
      </w:r>
      <w:r>
        <w:rPr>
          <w:rFonts w:ascii="Tinos" w:hAnsi="Tinos" w:cs="Tinos" w:eastAsia="Tinos" w:eastAsiaTheme="minorHAnsi"/>
          <w:b w:val="false"/>
          <w:sz w:val="28"/>
        </w:rPr>
        <w:t xml:space="preserve">».</w:t>
      </w:r>
      <w:r>
        <w:rPr>
          <w:rFonts w:ascii="Tinos" w:hAnsi="Tinos" w:cs="Tinos" w:eastAsia="Tinos" w:eastAsiaTheme="minorHAnsi"/>
          <w:b w:val="false"/>
          <w:sz w:val="28"/>
        </w:rPr>
        <w:t xml:space="preserve"> В рамках инициативного бюджетирования  в местном бюджете Ровеньского района на 2022 год предусмотрены средства </w:t>
      </w:r>
      <w:r>
        <w:rPr>
          <w:rFonts w:ascii="Tinos" w:hAnsi="Tinos" w:cs="Tinos" w:eastAsia="Tinos" w:eastAsiaTheme="minorHAnsi"/>
          <w:b w:val="false"/>
          <w:sz w:val="28"/>
        </w:rPr>
        <w:t xml:space="preserve">на </w:t>
      </w:r>
      <w:r>
        <w:rPr>
          <w:rFonts w:ascii="Tinos" w:hAnsi="Tinos" w:cs="Tinos" w:eastAsia="Tinos" w:eastAsiaTheme="minorHAnsi"/>
          <w:sz w:val="28"/>
        </w:rPr>
        <w:t xml:space="preserve">реализацию  23 инициативных проекта </w:t>
      </w:r>
      <w:r>
        <w:rPr>
          <w:rFonts w:ascii="Tinos" w:hAnsi="Tinos" w:cs="Tinos" w:eastAsia="Tinos" w:eastAsiaTheme="minorHAnsi"/>
          <w:b w:val="false"/>
          <w:sz w:val="28"/>
        </w:rPr>
        <w:t xml:space="preserve">в сумме  </w:t>
      </w:r>
      <w:r>
        <w:rPr>
          <w:rFonts w:ascii="Tinos" w:hAnsi="Tinos" w:cs="Tinos" w:eastAsia="Tinos" w:eastAsiaTheme="minorHAnsi"/>
          <w:b w:val="false"/>
          <w:sz w:val="28"/>
        </w:rPr>
        <w:t xml:space="preserve">27599,0 тыс.рублей   </w:t>
      </w:r>
      <w:r>
        <w:rPr>
          <w:rFonts w:ascii="Tinos" w:hAnsi="Tinos" w:cs="Tinos" w:eastAsia="Tinos" w:eastAsiaTheme="minorHAnsi"/>
          <w:sz w:val="28"/>
        </w:rPr>
        <w:t xml:space="preserve">. </w:t>
      </w:r>
      <w:r>
        <w:rPr>
          <w:rFonts w:ascii="Tinos" w:hAnsi="Tinos" w:cs="Tinos" w:eastAsia="Tinos" w:eastAsiaTheme="minorHAnsi"/>
          <w:sz w:val="28"/>
        </w:rPr>
        <w:t xml:space="preserve"> По результатам выборочной проверки реализации   шести инициативных проектов  на сумму  5101,97 тыс.рублей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установлено  9 (девять) количественных нарушений из них: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5 (пять)нарушений  при ведении бухгалтерского учета к ним относится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2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нарушение требований по оформлению первичных документов по учету нефинансовых активов (основных средств) (два нарушения)</w:t>
      </w:r>
      <w:r>
        <w:rPr>
          <w:rFonts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2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нарушение требований к ведению операций  на забалансовых счетах по учету независимой гарантии, предоставленной в обеспечение контракта (три нарушения)</w:t>
      </w:r>
      <w:r>
        <w:rPr>
          <w:rFonts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4 (четыре) нарушения  при осуществлении закупок  к ним относится 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нарушен</w:t>
      </w:r>
      <w:r>
        <w:rPr>
          <w:rFonts w:ascii="Tinos" w:hAnsi="Tinos" w:cs="Tinos" w:eastAsia="Tinos" w:eastAsiaTheme="minorHAnsi"/>
          <w:b w:val="false"/>
          <w:i w:val="false"/>
          <w:strike w:val="false"/>
          <w:sz w:val="28"/>
        </w:rPr>
        <w:t xml:space="preserve">ия условий исполнения контрактов (договоров),в том числе  своевременность расчетов по контракту (договору)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(три нарушения)</w:t>
      </w:r>
      <w:r>
        <w:rPr>
          <w:rFonts w:eastAsiaTheme="minorHAnsi"/>
        </w:rPr>
        <w:t xml:space="preserve">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4"/>
        <w:numPr>
          <w:ilvl w:val="0"/>
          <w:numId w:val="1"/>
        </w:num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в описании объекта закупки не указаны его технические характеристики (одно нарушение).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sz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Своевременно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е размещены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на сайте  муниципального образования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 отчеты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об итогах реализации </w:t>
      </w:r>
      <w:r>
        <w:rPr>
          <w:rFonts w:ascii="Tinos" w:hAnsi="Tinos" w:cs="Tinos" w:eastAsia="Tinos" w:eastAsiaTheme="minorHAnsi"/>
          <w:sz w:val="28"/>
          <w:highlight w:val="none"/>
        </w:rPr>
        <w:t xml:space="preserve"> трех  инициативных  проектов.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b w:val="false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b w:val="false"/>
          <w:bCs w:val="false"/>
          <w:sz w:val="28"/>
          <w:szCs w:val="28"/>
          <w:highlight w:val="none"/>
        </w:rPr>
        <w:t xml:space="preserve">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 w:afterAutospacing="0"/>
        <w:rPr>
          <w:rStyle w:val="866"/>
          <w:rFonts w:ascii="Tinos" w:hAnsi="Tinos" w:cs="Tinos" w:eastAsia="Tinos"/>
          <w:sz w:val="28"/>
          <w:highlight w:val="none"/>
        </w:rPr>
      </w:pPr>
      <w:r>
        <w:rPr>
          <w:rStyle w:val="866"/>
          <w:rFonts w:ascii="Tinos" w:hAnsi="Tinos" w:cs="Tinos" w:eastAsia="Tinos" w:eastAsiaTheme="minorHAnsi"/>
          <w:sz w:val="28"/>
          <w:szCs w:val="28"/>
        </w:rPr>
        <w:t xml:space="preserve">Информационная деятельность.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 w:afterAutospacing="0"/>
        <w:rPr>
          <w:rFonts w:ascii="Tinos" w:hAnsi="Tinos" w:cs="Tinos" w:eastAsia="Tinos"/>
          <w:color w:val="auto"/>
          <w:sz w:val="28"/>
          <w:szCs w:val="28"/>
          <w:highlight w:val="none"/>
        </w:rPr>
      </w:pP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В 2022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 году доступ к информации о деятельности Контрольно-счетной</w:t>
        <w:tab/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 комиссии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Ровеньского района  обеспечивался путем размещения на официальном сайте органов местного самоуправления Ровеньского  района на странице Контрольно-счетной комиссии информации о  проведенных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контрольных и экспертно-аналитических мероприятиях, выявленных нарушениях, о пр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инятых по ним решениях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.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auto"/>
          <w:sz w:val="28"/>
          <w:highlight w:val="none"/>
        </w:rPr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За отчетный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период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количество информационных сообщений о деятельности   Контрольно-счетной комиссии 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составило – </w:t>
      </w:r>
      <w:r>
        <w:rPr>
          <w:rFonts w:ascii="Tinos" w:hAnsi="Tinos" w:cs="Tinos" w:eastAsia="Tinos" w:eastAsiaTheme="minorHAnsi"/>
          <w:color w:val="auto"/>
          <w:sz w:val="28"/>
          <w:highlight w:val="none"/>
        </w:rPr>
        <w:t xml:space="preserve"> 8 материалов.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Style w:val="866"/>
          <w:rFonts w:ascii="Tinos" w:hAnsi="Tinos" w:cs="Tinos" w:eastAsia="Tinos"/>
          <w:b w:val="false"/>
          <w:color w:val="auto"/>
          <w:sz w:val="28"/>
          <w:highlight w:val="none"/>
        </w:rPr>
      </w:pP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 </w:t>
      </w:r>
      <w:r>
        <w:rPr>
          <w:rStyle w:val="866"/>
          <w:rFonts w:ascii="Tinos" w:hAnsi="Tinos" w:cs="Tinos" w:eastAsia="Tinos" w:eastAsiaTheme="minorHAnsi"/>
          <w:b w:val="false"/>
          <w:bCs w:val="false"/>
          <w:color w:val="auto"/>
          <w:sz w:val="28"/>
          <w:szCs w:val="28"/>
        </w:rPr>
        <w:t xml:space="preserve">В отчетном периоде обновлена методическая база контрольно-счетной комиссии Ровеньского района , два стандарта внешнего финансового муниципального контроля приведены в соответствие с учетом изменений законодательства.</w:t>
      </w:r>
      <w:r>
        <w:rPr>
          <w:rFonts w:ascii="Tinos" w:hAnsi="Tinos" w:cs="Tinos" w:eastAsia="Tinos" w:eastAsiaTheme="minorHAnsi"/>
          <w:color w:val="auto"/>
          <w:sz w:val="28"/>
        </w:rPr>
        <w:t xml:space="preserve">Методические  </w:t>
      </w:r>
      <w:r>
        <w:rPr>
          <w:rFonts w:ascii="Tinos" w:hAnsi="Tinos" w:cs="Tinos" w:eastAsia="Tinos" w:eastAsiaTheme="minorHAnsi"/>
          <w:color w:val="auto"/>
          <w:sz w:val="28"/>
        </w:rPr>
        <w:t xml:space="preserve">материалы  контрольно-</w:t>
      </w:r>
      <w:r>
        <w:rPr>
          <w:rFonts w:ascii="Tinos" w:hAnsi="Tinos" w:cs="Tinos" w:eastAsia="Tinos" w:eastAsiaTheme="minorHAnsi"/>
          <w:color w:val="auto"/>
          <w:sz w:val="28"/>
        </w:rPr>
        <w:t xml:space="preserve">счетной комиссии Ровеньского района  о</w:t>
      </w:r>
      <w:r>
        <w:rPr>
          <w:rFonts w:ascii="Tinos" w:hAnsi="Tinos" w:cs="Tinos" w:eastAsia="Tinos" w:eastAsiaTheme="minorHAnsi"/>
          <w:color w:val="auto"/>
          <w:sz w:val="28"/>
        </w:rPr>
        <w:t xml:space="preserve">тражают, основные вопросы </w:t>
      </w:r>
      <w:r>
        <w:rPr>
          <w:rFonts w:ascii="Tinos" w:hAnsi="Tinos" w:cs="Tinos" w:eastAsia="Tinos" w:eastAsiaTheme="minorHAnsi"/>
          <w:color w:val="auto"/>
          <w:sz w:val="28"/>
        </w:rPr>
        <w:t xml:space="preserve">деятельности – проведения контрольных и </w:t>
      </w:r>
      <w:r>
        <w:rPr>
          <w:rFonts w:ascii="Tinos" w:hAnsi="Tinos" w:cs="Tinos" w:eastAsia="Tinos" w:eastAsiaTheme="minorHAnsi"/>
          <w:color w:val="auto"/>
          <w:sz w:val="28"/>
        </w:rPr>
        <w:t xml:space="preserve">экспертно-аналитических мероприятий.</w:t>
      </w:r>
      <w:r>
        <w:rPr>
          <w:rFonts w:ascii="Tinos" w:hAnsi="Tinos" w:cs="Tinos" w:eastAsia="Tinos" w:eastAsiaTheme="minorHAnsi"/>
          <w:color w:val="auto"/>
          <w:sz w:val="28"/>
        </w:rPr>
        <w:t xml:space="preserve"> Указанные  документы  размещены на 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официальном сайте органов местного самоуправления Ровеньского  района  на </w:t>
      </w:r>
      <w:r>
        <w:rPr>
          <w:rFonts w:ascii="Tinos" w:hAnsi="Tinos" w:cs="Tinos" w:eastAsia="Tinos" w:eastAsiaTheme="minorHAnsi"/>
          <w:color w:val="auto"/>
          <w:sz w:val="28"/>
        </w:rPr>
        <w:t xml:space="preserve">странице Контрольно-счетной комиссии.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shd w:val="clear" w:fill="FFFFFF" w:color="auto"/>
        <w:rPr>
          <w:rFonts w:ascii="Tinos" w:hAnsi="Tinos" w:cs="Tinos" w:eastAsia="Tinos"/>
          <w:b w:val="false"/>
          <w:color w:val="000000"/>
          <w:sz w:val="28"/>
          <w:szCs w:val="28"/>
        </w:rPr>
      </w:pPr>
      <w:r>
        <w:rPr>
          <w:rFonts w:ascii="Tinos" w:hAnsi="Tinos" w:cs="Tinos" w:eastAsia="Tinos" w:eastAsiaTheme="minorHAnsi"/>
          <w:b w:val="false"/>
          <w:color w:val="000000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Style w:val="866"/>
          <w:rFonts w:ascii="Tinos" w:hAnsi="Tinos" w:cs="Tinos" w:eastAsia="Tinos" w:eastAsiaTheme="minorHAnsi"/>
          <w:sz w:val="28"/>
          <w:szCs w:val="28"/>
        </w:rPr>
        <w:t xml:space="preserve">Обеспечение  деятельности.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В 2022 году на обеспечение деятельности  Контрольно-счетной комиссии  утверждены бюджетные   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ассигнования в размере  1529,0тыс. рублей, 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исполнение составило 1524,52тыс. рублей 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или 99,7%. Бюджетные средства предусмотренные на содержание и обеспечение деятельности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 израсходованы  на оплату труда и материально-техническое 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обеспечение</w:t>
      </w:r>
      <w:r>
        <w:rPr>
          <w:rFonts w:ascii="Tinos" w:hAnsi="Tinos" w:cs="Tinos" w:eastAsia="Tinos" w:eastAsiaTheme="minorHAnsi"/>
          <w:color w:val="1A1A1A"/>
          <w:sz w:val="28"/>
          <w:highlight w:val="none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shd w:val="clear" w:fill="FFFFFF" w:color="auto"/>
        <w:rPr>
          <w:rFonts w:ascii="Tinos" w:hAnsi="Tinos" w:cs="Tinos" w:eastAsia="Tinos"/>
          <w:b w:val="false"/>
          <w:color w:val="000000"/>
          <w:sz w:val="28"/>
          <w:szCs w:val="28"/>
          <w:highlight w:val="none"/>
        </w:rPr>
      </w:pPr>
      <w:r>
        <w:rPr>
          <w:rStyle w:val="866"/>
          <w:rFonts w:ascii="Tinos" w:hAnsi="Tinos" w:cs="Tinos" w:eastAsia="Tinos" w:eastAsiaTheme="minorHAnsi"/>
          <w:b w:val="false"/>
          <w:bCs w:val="false"/>
          <w:color w:val="000000"/>
          <w:sz w:val="28"/>
          <w:szCs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Style w:val="866"/>
          <w:rFonts w:ascii="Tinos" w:hAnsi="Tinos" w:cs="Tinos" w:eastAsia="Tinos" w:eastAsiaTheme="minorHAnsi"/>
          <w:sz w:val="28"/>
          <w:szCs w:val="28"/>
          <w:highlight w:val="none"/>
        </w:rPr>
        <w:t xml:space="preserve">Заключительное положение.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7"/>
        <w:jc w:val="both"/>
        <w:spacing w:lineRule="auto" w:line="238" w:after="0" w:afterAutospacing="0" w:before="0" w:beforeAutospacing="0"/>
        <w:rPr>
          <w:rFonts w:ascii="Tinos" w:hAnsi="Tinos" w:cs="Tinos" w:eastAsia="Tinos"/>
          <w:color w:val="auto"/>
          <w:sz w:val="28"/>
          <w:highlight w:val="none"/>
        </w:rPr>
      </w:pP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 w:eastAsiaTheme="minorHAnsi"/>
          <w:sz w:val="28"/>
          <w:szCs w:val="28"/>
          <w:highlight w:val="none"/>
        </w:rPr>
        <w:t xml:space="preserve">     </w:t>
      </w: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Контрольно- счетная  комиссия  Ровеньского района обеспечила в полном объеме выполнение плана контрольных и экспертно-а</w:t>
      </w: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налитических мероприятий в  2022</w:t>
      </w: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 году.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 w:afterAutospacing="0"/>
        <w:rPr>
          <w:rFonts w:ascii="Tinos" w:hAnsi="Tinos" w:cs="Tinos" w:eastAsia="Tinos"/>
          <w:color w:val="auto"/>
          <w:sz w:val="28"/>
          <w:highlight w:val="yellow"/>
        </w:rPr>
      </w:pPr>
      <w:r>
        <w:rPr>
          <w:rFonts w:ascii="Tinos" w:hAnsi="Tinos" w:cs="Tinos" w:eastAsia="Tinos" w:eastAsiaTheme="minorHAnsi"/>
          <w:color w:val="auto"/>
          <w:sz w:val="28"/>
          <w:szCs w:val="28"/>
          <w:highlight w:val="none"/>
        </w:rPr>
        <w:t xml:space="preserve">  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В соответствии со ст. 11 Положения о контрольно-счетной комиссии Ровеньского района  утвержден </w:t>
      </w:r>
      <w:r>
        <w:rPr>
          <w:rStyle w:val="866"/>
          <w:rFonts w:ascii="Tinos" w:hAnsi="Tinos" w:cs="Tinos" w:eastAsia="Tinos" w:eastAsiaTheme="minorHAnsi"/>
          <w:b w:val="false"/>
          <w:bCs w:val="false"/>
          <w:color w:val="auto"/>
          <w:sz w:val="28"/>
          <w:szCs w:val="28"/>
        </w:rPr>
        <w:t xml:space="preserve">план работы  на 2023 год, </w:t>
      </w:r>
      <w:r>
        <w:rPr>
          <w:rFonts w:ascii="Tinos" w:hAnsi="Tinos" w:cs="Tinos" w:eastAsia="Tinos" w:eastAsiaTheme="minorHAnsi"/>
          <w:color w:val="auto"/>
          <w:sz w:val="28"/>
          <w:szCs w:val="28"/>
        </w:rPr>
        <w:t xml:space="preserve">распоряжением  контрольно-счетной комиссии от 28.12.2022 года № 112.  </w:t>
      </w:r>
      <w:r>
        <w:rPr>
          <w:rFonts w:ascii="Tinos" w:hAnsi="Tinos" w:cs="Tinos" w:eastAsia="Tinos" w:eastAsiaTheme="minorHAnsi"/>
          <w:color w:val="auto"/>
          <w:sz w:val="28"/>
        </w:rPr>
        <w:t xml:space="preserve">Одной из ключевых задач контрольно-счетной комиссии  в 2023 году остается мониторинг реализации на </w:t>
      </w:r>
      <w:r>
        <w:rPr>
          <w:rFonts w:ascii="Tinos" w:hAnsi="Tinos" w:cs="Tinos" w:eastAsia="Tinos" w:eastAsiaTheme="minorHAnsi"/>
          <w:color w:val="auto"/>
          <w:sz w:val="28"/>
        </w:rPr>
        <w:t xml:space="preserve">территории муниципального района «Ровеньский район»  </w:t>
      </w:r>
      <w:r>
        <w:rPr>
          <w:rFonts w:ascii="Tinos" w:hAnsi="Tinos" w:cs="Tinos" w:eastAsia="Tinos" w:eastAsiaTheme="minorHAnsi"/>
          <w:color w:val="auto"/>
          <w:sz w:val="28"/>
        </w:rPr>
        <w:t xml:space="preserve">национальных проектов </w:t>
      </w:r>
      <w:r>
        <w:rPr>
          <w:rFonts w:ascii="Tinos" w:hAnsi="Tinos" w:cs="Tinos" w:eastAsia="Tinos" w:eastAsiaTheme="minorHAnsi"/>
          <w:color w:val="auto"/>
          <w:sz w:val="28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both"/>
        <w:spacing w:lineRule="auto" w:line="240" w:after="0" w:before="0"/>
        <w:shd w:val="clear" w:color="FFFFFF"/>
        <w:rPr>
          <w:rFonts w:ascii="Tinos" w:hAnsi="Tinos" w:cs="Tinos" w:eastAsia="Tinos"/>
          <w:color w:val="auto"/>
          <w:sz w:val="28"/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nos" w:hAnsi="Tinos" w:cs="Tinos" w:eastAsia="Tinos" w:eastAsiaTheme="minorHAnsi"/>
          <w:color w:val="auto"/>
          <w:sz w:val="28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Style w:val="866"/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b/>
          <w:sz w:val="28"/>
          <w:szCs w:val="28"/>
        </w:rPr>
        <w:t xml:space="preserve">Председатель контрольно – счетной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b/>
          <w:sz w:val="28"/>
          <w:szCs w:val="28"/>
        </w:rPr>
        <w:t xml:space="preserve">    </w:t>
      </w:r>
      <w:r>
        <w:rPr>
          <w:rFonts w:ascii="Tinos" w:hAnsi="Tinos" w:cs="Tinos" w:eastAsia="Tinos" w:eastAsiaTheme="minorHAnsi"/>
          <w:b/>
          <w:sz w:val="28"/>
          <w:szCs w:val="28"/>
        </w:rPr>
        <w:t xml:space="preserve">комиссии  Ровеньского района                         </w:t>
      </w:r>
      <w:r>
        <w:rPr>
          <w:rFonts w:ascii="Tinos" w:hAnsi="Tinos" w:cs="Tinos" w:eastAsia="Tinos" w:eastAsiaTheme="minorHAnsi"/>
          <w:b/>
          <w:sz w:val="28"/>
          <w:szCs w:val="28"/>
        </w:rPr>
        <w:t xml:space="preserve">           </w:t>
      </w:r>
      <w:r>
        <w:rPr>
          <w:rFonts w:ascii="Tinos" w:hAnsi="Tinos" w:cs="Tinos" w:eastAsia="Tinos" w:eastAsiaTheme="minorHAnsi"/>
          <w:b/>
          <w:sz w:val="28"/>
          <w:szCs w:val="28"/>
        </w:rPr>
        <w:t xml:space="preserve">             Л.А.Курочка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pacing w:lineRule="auto" w:line="240"/>
        <w:rPr>
          <w:rFonts w:ascii="Tinos" w:hAnsi="Tinos" w:cs="Tinos" w:eastAsia="Tinos"/>
        </w:rPr>
      </w:pPr>
      <w:r>
        <w:rPr>
          <w:rFonts w:ascii="Tinos" w:hAnsi="Tinos" w:cs="Tinos" w:eastAsia="Tinos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PT Sans">
    <w:panose1 w:val="020B0503020203020204"/>
  </w:font>
  <w:font w:name="Wingdings">
    <w:panose1 w:val="020B0606030804020204"/>
  </w:font>
  <w:font w:name="Courier New">
    <w:panose1 w:val="02070409020205020404"/>
  </w:font>
  <w:font w:name="Symbol">
    <w:panose1 w:val="020606030505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</w:p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0"/>
    <w:next w:val="860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5">
    <w:name w:val="Heading 1 Char"/>
    <w:link w:val="684"/>
    <w:uiPriority w:val="9"/>
    <w:rPr>
      <w:rFonts w:ascii="Arial" w:hAnsi="Arial" w:cs="Arial" w:eastAsia="Arial"/>
      <w:sz w:val="40"/>
      <w:szCs w:val="40"/>
    </w:rPr>
  </w:style>
  <w:style w:type="paragraph" w:styleId="686">
    <w:name w:val="Heading 2"/>
    <w:basedOn w:val="860"/>
    <w:next w:val="860"/>
    <w:link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7">
    <w:name w:val="Heading 2 Char"/>
    <w:link w:val="686"/>
    <w:uiPriority w:val="9"/>
    <w:rPr>
      <w:rFonts w:ascii="Arial" w:hAnsi="Arial" w:cs="Arial" w:eastAsia="Arial"/>
      <w:sz w:val="34"/>
    </w:rPr>
  </w:style>
  <w:style w:type="paragraph" w:styleId="688">
    <w:name w:val="Heading 3"/>
    <w:basedOn w:val="860"/>
    <w:next w:val="860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9">
    <w:name w:val="Heading 3 Char"/>
    <w:link w:val="688"/>
    <w:uiPriority w:val="9"/>
    <w:rPr>
      <w:rFonts w:ascii="Arial" w:hAnsi="Arial" w:cs="Arial" w:eastAsia="Arial"/>
      <w:sz w:val="30"/>
      <w:szCs w:val="30"/>
    </w:rPr>
  </w:style>
  <w:style w:type="paragraph" w:styleId="690">
    <w:name w:val="Heading 4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1">
    <w:name w:val="Heading 4 Char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>
    <w:name w:val="Heading 5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0"/>
    <w:next w:val="860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0"/>
    <w:next w:val="860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6">
    <w:name w:val="List Table 7 Colorful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7">
    <w:name w:val="List Table 7 Colorful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8">
    <w:name w:val="List Table 7 Colorful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9">
    <w:name w:val="List Table 7 Colorful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0">
    <w:name w:val="List Table 7 Colorful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1">
    <w:name w:val="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2">
    <w:name w:val="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3">
    <w:name w:val="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4">
    <w:name w:val="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5">
    <w:name w:val="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6">
    <w:name w:val="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7">
    <w:name w:val="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8">
    <w:name w:val="Bordered &amp; Lined - Accent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9">
    <w:name w:val="Bordered &amp; Lined - Accent 1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30">
    <w:name w:val="Bordered &amp; Lined - Accent 2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31">
    <w:name w:val="Bordered &amp; Lined - Accent 3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2">
    <w:name w:val="Bordered &amp; Lined - Accent 4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3">
    <w:name w:val="Bordered &amp; Lined - Accent 5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4">
    <w:name w:val="Bordered &amp; Lined - Accent 6"/>
    <w:basedOn w:val="8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5">
    <w:name w:val="Bordered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>
    <w:name w:val="No Spacing"/>
    <w:basedOn w:val="860"/>
    <w:qFormat/>
    <w:uiPriority w:val="1"/>
    <w:pPr>
      <w:spacing w:lineRule="auto" w:line="240" w:after="0"/>
    </w:pPr>
  </w:style>
  <w:style w:type="paragraph" w:styleId="864">
    <w:name w:val="List Paragraph"/>
    <w:basedOn w:val="860"/>
    <w:qFormat/>
    <w:uiPriority w:val="34"/>
    <w:pPr>
      <w:contextualSpacing w:val="true"/>
      <w:ind w:left="720"/>
    </w:pPr>
  </w:style>
  <w:style w:type="character" w:styleId="865" w:default="1">
    <w:name w:val="Default Paragraph Font"/>
    <w:uiPriority w:val="1"/>
    <w:semiHidden/>
    <w:unhideWhenUsed/>
  </w:style>
  <w:style w:type="character" w:styleId="866">
    <w:name w:val="Strong"/>
    <w:qFormat/>
    <w:rPr>
      <w:b/>
      <w:bCs/>
    </w:rPr>
  </w:style>
  <w:style w:type="paragraph" w:styleId="867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8">
    <w:name w:val="       ConsPlusNormal"/>
    <w:rPr>
      <w:rFonts w:ascii="Arial" w:hAnsi="Arial" w:cs="Arial" w:eastAsia="Arial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2023-03-24T10:24:27Z</dcterms:modified>
</cp:coreProperties>
</file>