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первый квартал  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   </w:t>
      </w:r>
      <w:r>
        <w:rPr>
          <w:rFonts w:ascii="Tinos" w:hAnsi="Tinos" w:cs="Tinos" w:eastAsia="Tinos"/>
          <w:sz w:val="28"/>
          <w:szCs w:val="28"/>
        </w:rPr>
        <w:t xml:space="preserve">  По результатам проведенного анализа </w:t>
      </w:r>
      <w:r>
        <w:rPr>
          <w:rFonts w:ascii="Tinos" w:hAnsi="Tinos" w:cs="Tinos" w:eastAsia="Tinos"/>
          <w:sz w:val="28"/>
          <w:szCs w:val="28"/>
        </w:rPr>
        <w:t xml:space="preserve">отчета об исполнении </w:t>
      </w:r>
      <w:r>
        <w:rPr>
          <w:rFonts w:ascii="Tinos" w:hAnsi="Tinos" w:cs="Tinos" w:eastAsia="Tinos"/>
          <w:sz w:val="28"/>
          <w:szCs w:val="28"/>
        </w:rPr>
        <w:t xml:space="preserve">местного </w:t>
      </w:r>
      <w:r>
        <w:rPr>
          <w:rFonts w:ascii="Tinos" w:hAnsi="Tinos" w:cs="Tinos" w:eastAsia="Tinos"/>
          <w:sz w:val="28"/>
          <w:szCs w:val="28"/>
        </w:rPr>
        <w:t xml:space="preserve">бюджета Ровеньского района за</w:t>
      </w:r>
      <w:r>
        <w:rPr>
          <w:rFonts w:ascii="Tinos" w:hAnsi="Tinos" w:cs="Tinos" w:eastAsia="Tinos"/>
          <w:sz w:val="28"/>
          <w:szCs w:val="28"/>
        </w:rPr>
        <w:t xml:space="preserve"> первый квартал 2024</w:t>
      </w:r>
      <w:r>
        <w:rPr>
          <w:rFonts w:ascii="Tinos" w:hAnsi="Tinos" w:cs="Tinos" w:eastAsia="Tinos"/>
          <w:sz w:val="28"/>
          <w:szCs w:val="28"/>
        </w:rPr>
        <w:t xml:space="preserve"> года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Отчет об исполнении местног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 бюджета за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первый квартал  2024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года, утвержден постановлением администрации 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от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18.04.2024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года  № 173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,  по доходам в сумме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292917,3тыс. рублей,  расходам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283998,2тыс. рублей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,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с  профицитом в сумме 8919,1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тыс. рублей.</w:t>
      </w: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</w:t>
      </w:r>
      <w:r>
        <w:rPr>
          <w:rFonts w:ascii="Tinos" w:hAnsi="Tinos" w:cs="Tinos" w:eastAsia="Tinos"/>
          <w:sz w:val="28"/>
          <w:szCs w:val="28"/>
        </w:rPr>
        <w:t xml:space="preserve">отчетом об исполнении бюдже</w:t>
      </w:r>
      <w:r>
        <w:rPr>
          <w:rFonts w:ascii="Tinos" w:hAnsi="Tinos" w:cs="Tinos" w:eastAsia="Tinos"/>
          <w:sz w:val="28"/>
          <w:szCs w:val="28"/>
        </w:rPr>
        <w:t xml:space="preserve">та на 1.04.2024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года  Ф. (050311</w:t>
      </w:r>
      <w:r>
        <w:rPr>
          <w:rFonts w:ascii="Tinos" w:hAnsi="Tinos" w:cs="Tinos" w:eastAsia="Tinos"/>
          <w:sz w:val="28"/>
          <w:szCs w:val="28"/>
        </w:rPr>
        <w:t xml:space="preserve">7)  </w:t>
      </w:r>
      <w:r>
        <w:rPr>
          <w:rFonts w:ascii="Tinos" w:hAnsi="Tinos" w:cs="Tinos" w:eastAsia="Tinos"/>
          <w:sz w:val="28"/>
          <w:szCs w:val="28"/>
        </w:rPr>
        <w:t xml:space="preserve">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исполнены на 292917.3</w:t>
      </w:r>
      <w:r>
        <w:rPr>
          <w:rFonts w:ascii="Tinos" w:hAnsi="Tinos" w:cs="Tinos" w:eastAsia="Tinos"/>
          <w:sz w:val="28"/>
          <w:szCs w:val="28"/>
        </w:rPr>
        <w:t xml:space="preserve"> тыс. рублей или 22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 доходов. </w:t>
      </w: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 составили 79601.3</w:t>
      </w:r>
      <w:r>
        <w:rPr>
          <w:rFonts w:ascii="Tinos" w:hAnsi="Tinos" w:cs="Tinos" w:eastAsia="Tinos"/>
          <w:sz w:val="28"/>
          <w:szCs w:val="28"/>
        </w:rPr>
        <w:t xml:space="preserve">тыс. рублей  или 28,6%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213316,0тыс. рублей или  20</w:t>
      </w:r>
      <w:r>
        <w:rPr>
          <w:rFonts w:ascii="Tinos" w:hAnsi="Tinos" w:cs="Tinos" w:eastAsia="Tinos"/>
          <w:sz w:val="28"/>
          <w:szCs w:val="28"/>
        </w:rPr>
        <w:t xml:space="preserve">%. 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pStyle w:val="816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 аналогичным периодом   2023 года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объем  поступлений доходов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ниже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на  9 %. Поступление собственных   доходов  выше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  116%.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pStyle w:val="816"/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первый квартал 2024</w:t>
      </w:r>
      <w:r>
        <w:rPr>
          <w:rFonts w:ascii="Tinos" w:hAnsi="Tinos" w:cs="Tinos" w:eastAsia="Tinos"/>
          <w:sz w:val="28"/>
          <w:szCs w:val="28"/>
        </w:rPr>
        <w:t xml:space="preserve"> года составили  </w:t>
      </w:r>
      <w:r>
        <w:rPr>
          <w:rFonts w:ascii="Tinos" w:hAnsi="Tinos" w:cs="Tinos" w:eastAsia="Tinos"/>
          <w:sz w:val="28"/>
          <w:szCs w:val="28"/>
        </w:rPr>
        <w:t xml:space="preserve">283998,2 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 20%, от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 аналогичным периодом   2023 года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ниже объем расходов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 12%.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</w:rPr>
        <w:t xml:space="preserve">нансирования за   первый квартал  2024 </w:t>
      </w:r>
      <w:r>
        <w:rPr>
          <w:rFonts w:ascii="Tinos" w:hAnsi="Tinos" w:cs="Tinos" w:eastAsia="Tinos"/>
          <w:sz w:val="28"/>
          <w:szCs w:val="28"/>
        </w:rPr>
        <w:t xml:space="preserve">года  являлись: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</w:rPr>
        <w:t xml:space="preserve">51%;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-социальная политика  - 19</w:t>
      </w:r>
      <w:r>
        <w:rPr>
          <w:rFonts w:ascii="Tinos" w:hAnsi="Tinos" w:cs="Tinos" w:eastAsia="Tinos"/>
          <w:sz w:val="28"/>
          <w:szCs w:val="28"/>
        </w:rPr>
        <w:t xml:space="preserve">%;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-общегосударственные вопросы -8%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-культура, кинематография   - </w:t>
      </w:r>
      <w:r>
        <w:rPr>
          <w:rFonts w:ascii="Tinos" w:hAnsi="Tinos" w:cs="Tinos" w:eastAsia="Tinos"/>
          <w:sz w:val="28"/>
          <w:szCs w:val="28"/>
        </w:rPr>
        <w:t xml:space="preserve"> 7%</w:t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-физическая культура и спорт- 5%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</w:rPr>
        <w:t xml:space="preserve">-национальная экономика - 3%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.</w:t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Исполнение муниципальных программ за счет средств местного бюджета составило </w:t>
      </w:r>
      <w:r>
        <w:rPr>
          <w:rFonts w:ascii="Tinos" w:hAnsi="Tinos" w:cs="Tinos" w:eastAsia="Tinos"/>
          <w:sz w:val="28"/>
          <w:szCs w:val="28"/>
        </w:rPr>
        <w:t xml:space="preserve"> 98283,8тыс.рублей или  21 </w:t>
      </w:r>
      <w:r>
        <w:rPr>
          <w:rFonts w:ascii="Tinos" w:hAnsi="Tinos" w:cs="Tinos" w:eastAsia="Tinos"/>
          <w:sz w:val="28"/>
          <w:szCs w:val="28"/>
        </w:rPr>
        <w:t xml:space="preserve">%.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Бюджет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первый квартал 2024 года исполнен с превышением  доходов над расходами   в сумме  </w:t>
      </w:r>
      <w:r>
        <w:rPr>
          <w:rFonts w:ascii="Tinos" w:hAnsi="Tinos" w:cs="Tinos" w:eastAsia="Tinos"/>
          <w:sz w:val="28"/>
          <w:szCs w:val="28"/>
        </w:rPr>
        <w:t xml:space="preserve">8919,1тыс. рублей.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</w:p>
    <w:p>
      <w:pPr>
        <w:contextualSpacing w:val="true"/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</w:p>
    <w:p>
      <w:pPr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2024-04-26T06:39:44Z</dcterms:modified>
</cp:coreProperties>
</file>