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</w:rPr>
      </w:r>
      <w:r/>
    </w:p>
    <w:p>
      <w:pPr>
        <w:contextualSpacing/>
        <w:jc w:val="center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 внешней проверки  отчета 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Ровеньского района  </w:t>
      </w:r>
      <w:r>
        <w:rPr>
          <w:rFonts w:ascii="Times New Roman" w:hAnsi="Times New Roman" w:cs="Times New Roman"/>
          <w:b/>
          <w:sz w:val="28"/>
          <w:szCs w:val="28"/>
        </w:rPr>
        <w:t xml:space="preserve">за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>
        <w:rPr>
          <w:rFonts w:ascii="Times New Roman" w:hAnsi="Times New Roman" w:cs="Times New Roman"/>
        </w:rPr>
      </w:r>
      <w:r/>
    </w:p>
    <w:p>
      <w:pPr>
        <w:contextualSpacing/>
        <w:jc w:val="both"/>
        <w:spacing w:after="0" w:afterAutospacing="0" w:line="22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contextualSpacing/>
        <w:jc w:val="both"/>
        <w:spacing w:after="0" w:afterAutospacing="0" w:line="221" w:lineRule="auto"/>
        <w:rPr>
          <w:rFonts w:ascii="Tinos" w:hAnsi="Tinos" w:eastAsia="Tinos" w:cs="Tinos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nos" w:hAnsi="Tinos" w:eastAsia="Tinos" w:cs="Tinos"/>
          <w:sz w:val="28"/>
          <w:szCs w:val="28"/>
        </w:rPr>
        <w:t xml:space="preserve">      По результатам  внешней проверки </w:t>
      </w:r>
      <w:r>
        <w:rPr>
          <w:rFonts w:ascii="Tinos" w:hAnsi="Tinos" w:eastAsia="Tinos" w:cs="Tinos"/>
          <w:sz w:val="28"/>
          <w:szCs w:val="28"/>
        </w:rPr>
        <w:t xml:space="preserve">отчета об исполнении </w:t>
      </w:r>
      <w:r>
        <w:rPr>
          <w:rFonts w:ascii="Tinos" w:hAnsi="Tinos" w:eastAsia="Tinos" w:cs="Tinos"/>
          <w:sz w:val="28"/>
          <w:szCs w:val="28"/>
        </w:rPr>
        <w:t xml:space="preserve">местного </w:t>
      </w:r>
      <w:r>
        <w:rPr>
          <w:rFonts w:ascii="Tinos" w:hAnsi="Tinos" w:eastAsia="Tinos" w:cs="Tinos"/>
          <w:sz w:val="28"/>
          <w:szCs w:val="28"/>
        </w:rPr>
        <w:t xml:space="preserve">бюджета Ровеньского района за</w:t>
      </w:r>
      <w:r>
        <w:rPr>
          <w:rFonts w:ascii="Tinos" w:hAnsi="Tinos" w:eastAsia="Tinos" w:cs="Tinos"/>
          <w:sz w:val="28"/>
          <w:szCs w:val="28"/>
        </w:rPr>
        <w:t xml:space="preserve"> 2023</w:t>
      </w:r>
      <w:r>
        <w:rPr>
          <w:rFonts w:ascii="Tinos" w:hAnsi="Tinos" w:eastAsia="Tinos" w:cs="Tinos"/>
          <w:sz w:val="28"/>
          <w:szCs w:val="28"/>
        </w:rPr>
        <w:t xml:space="preserve"> год к</w:t>
      </w:r>
      <w:r>
        <w:rPr>
          <w:rFonts w:ascii="Tinos" w:hAnsi="Tinos" w:eastAsia="Tinos" w:cs="Tinos"/>
          <w:sz w:val="28"/>
          <w:szCs w:val="28"/>
        </w:rPr>
        <w:t xml:space="preserve">онтрольно-счетной комиссией Ровеньского </w:t>
      </w:r>
      <w:r>
        <w:rPr>
          <w:rFonts w:ascii="Tinos" w:hAnsi="Tinos" w:eastAsia="Tinos" w:cs="Tinos"/>
          <w:sz w:val="28"/>
          <w:szCs w:val="28"/>
        </w:rPr>
        <w:t xml:space="preserve"> </w:t>
      </w:r>
      <w:r>
        <w:rPr>
          <w:rFonts w:ascii="Tinos" w:hAnsi="Tinos" w:eastAsia="Tinos" w:cs="Tinos"/>
          <w:sz w:val="28"/>
          <w:szCs w:val="28"/>
        </w:rPr>
        <w:t xml:space="preserve">района  установлено следующее.</w:t>
      </w:r>
      <w:r>
        <w:rPr>
          <w:rFonts w:ascii="Tinos" w:hAnsi="Tinos" w:eastAsia="Tinos" w:cs="Tinos"/>
        </w:rPr>
      </w:r>
      <w:r/>
    </w:p>
    <w:p>
      <w:pPr>
        <w:jc w:val="both"/>
        <w:spacing w:after="0" w:afterAutospacing="0" w:line="238" w:lineRule="auto"/>
        <w:rPr>
          <w:rFonts w:ascii="Tinos" w:hAnsi="Tinos" w:eastAsia="Tinos" w:cs="Tinos"/>
          <w:sz w:val="28"/>
          <w:szCs w:val="28"/>
          <w:highlight w:val="none"/>
        </w:rPr>
      </w:pPr>
      <w:r>
        <w:rPr>
          <w:rFonts w:ascii="Tinos" w:hAnsi="Tinos" w:eastAsia="Tinos" w:cs="Tinos" w:eastAsiaTheme="minorHAnsi"/>
          <w:bCs/>
          <w:sz w:val="28"/>
          <w:szCs w:val="28"/>
          <w:highlight w:val="none"/>
        </w:rPr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Отче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т  об исполнении местного бю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джета Ровеньского района за 2023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год представлен в пол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ном объе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ме и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отра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жает  соблюдение при  исполнении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</w:t>
      </w:r>
      <w:r>
        <w:rPr>
          <w:rFonts w:ascii="Tinos" w:hAnsi="Tinos" w:eastAsia="Tinos" w:cs="Tinos" w:eastAsiaTheme="minorHAnsi"/>
          <w:sz w:val="28"/>
          <w:szCs w:val="28"/>
        </w:rPr>
        <w:t xml:space="preserve">бюджета требований Бюджетного  Коде</w:t>
      </w:r>
      <w:r>
        <w:rPr>
          <w:rFonts w:ascii="Tinos" w:hAnsi="Tinos" w:eastAsia="Tinos" w:cs="Tinos" w:eastAsiaTheme="minorHAnsi"/>
          <w:sz w:val="28"/>
          <w:szCs w:val="28"/>
        </w:rPr>
        <w:t xml:space="preserve">кса РФ</w:t>
      </w:r>
      <w:r>
        <w:rPr>
          <w:rFonts w:ascii="Tinos" w:hAnsi="Tinos" w:eastAsia="Tinos" w:cs="Tinos" w:eastAsiaTheme="minorHAnsi"/>
          <w:color w:val="000000"/>
          <w:sz w:val="28"/>
          <w:szCs w:val="28"/>
          <w:shd w:val="clear" w:color="auto" w:fill="ffffff"/>
        </w:rPr>
        <w:t xml:space="preserve">, Положения</w:t>
      </w:r>
      <w:r>
        <w:rPr>
          <w:rFonts w:ascii="Tinos" w:hAnsi="Tinos" w:eastAsia="Tinos" w:cs="Tinos" w:eastAsiaTheme="minorHAnsi"/>
          <w:color w:val="000000"/>
          <w:sz w:val="28"/>
          <w:szCs w:val="28"/>
          <w:shd w:val="clear" w:color="auto" w:fill="ffffff"/>
        </w:rPr>
        <w:t xml:space="preserve"> о бюджетном процессе </w:t>
      </w:r>
      <w:r>
        <w:rPr>
          <w:rFonts w:ascii="Tinos" w:hAnsi="Tinos" w:eastAsia="Tinos" w:cs="Tinos" w:eastAsiaTheme="minorHAnsi"/>
          <w:color w:val="000000"/>
          <w:sz w:val="28"/>
          <w:szCs w:val="28"/>
          <w:shd w:val="clear" w:color="auto" w:fill="ffffff"/>
        </w:rPr>
        <w:t xml:space="preserve">в Ровеньском районе</w:t>
      </w:r>
      <w:r>
        <w:rPr>
          <w:rFonts w:ascii="Tinos" w:hAnsi="Tinos" w:eastAsia="Tinos" w:cs="Tinos" w:eastAsiaTheme="minorHAnsi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nos" w:hAnsi="Tinos" w:eastAsia="Tinos" w:cs="Tinos" w:eastAsiaTheme="minorHAnsi"/>
          <w:color w:val="000000"/>
          <w:sz w:val="28"/>
          <w:szCs w:val="28"/>
          <w:shd w:val="clear" w:color="auto" w:fill="ffffff"/>
        </w:rPr>
        <w:t xml:space="preserve">решения</w:t>
      </w:r>
      <w:r>
        <w:rPr>
          <w:rFonts w:ascii="Tinos" w:hAnsi="Tinos" w:eastAsia="Tinos" w:cs="Tinos" w:eastAsia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nos" w:hAnsi="Tinos" w:eastAsia="Tinos" w:cs="Tinos" w:eastAsiaTheme="minorHAnsi"/>
          <w:color w:val="000000"/>
          <w:sz w:val="28"/>
          <w:szCs w:val="28"/>
          <w:shd w:val="clear" w:color="auto" w:fill="ffffff"/>
        </w:rPr>
        <w:t xml:space="preserve">Муниципального совета  муниципального района «Ровеньский район» «Об утверждении местного бюджета Ровеньского</w:t>
      </w:r>
      <w:r>
        <w:rPr>
          <w:rFonts w:ascii="Tinos" w:hAnsi="Tinos" w:eastAsia="Tinos" w:cs="Tinos" w:eastAsiaTheme="minorHAnsi"/>
          <w:color w:val="000000"/>
          <w:sz w:val="28"/>
          <w:szCs w:val="28"/>
          <w:shd w:val="clear" w:color="auto" w:fill="ffffff"/>
        </w:rPr>
        <w:t xml:space="preserve"> района  на 2023 год и плановый период 2024 и 2025</w:t>
      </w:r>
      <w:r>
        <w:rPr>
          <w:rFonts w:ascii="Tinos" w:hAnsi="Tinos" w:eastAsia="Tinos" w:cs="Tinos" w:eastAsiaTheme="minorHAnsi"/>
          <w:color w:val="000000"/>
          <w:sz w:val="28"/>
          <w:szCs w:val="28"/>
          <w:shd w:val="clear" w:color="auto" w:fill="ffffff"/>
        </w:rPr>
        <w:t xml:space="preserve"> годов»</w:t>
      </w:r>
      <w:r>
        <w:rPr>
          <w:rFonts w:ascii="Tinos" w:hAnsi="Tinos" w:eastAsia="Tinos" w:cs="Tinos" w:eastAsiaTheme="minorHAnsi"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nos" w:hAnsi="Tinos" w:eastAsia="Tinos" w:cs="Tinos" w:eastAsiaTheme="minorHAnsi"/>
          <w:bCs/>
          <w:sz w:val="28"/>
          <w:szCs w:val="28"/>
          <w:highlight w:val="none"/>
        </w:rPr>
      </w:r>
      <w:r/>
    </w:p>
    <w:p>
      <w:pPr>
        <w:jc w:val="both"/>
        <w:spacing w:after="0" w:afterAutospacing="0" w:line="238" w:lineRule="auto"/>
        <w:rPr>
          <w:rFonts w:ascii="Tinos" w:hAnsi="Tinos" w:eastAsia="Tinos" w:cs="Tinos"/>
          <w:sz w:val="28"/>
          <w:szCs w:val="28"/>
          <w:highlight w:val="none"/>
        </w:rPr>
      </w:pPr>
      <w:r>
        <w:rPr>
          <w:rFonts w:ascii="Tinos" w:hAnsi="Tinos" w:eastAsia="Tinos" w:cs="Tinos" w:eastAsiaTheme="minorHAnsi"/>
          <w:sz w:val="28"/>
          <w:szCs w:val="28"/>
        </w:rPr>
        <w:t xml:space="preserve">Д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оходная часть бюд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жета исполнена в сумме</w:t>
      </w:r>
      <w:r>
        <w:rPr>
          <w:rFonts w:ascii="Tinos" w:hAnsi="Tinos" w:eastAsia="Tinos" w:cs="Tinos" w:eastAsiaTheme="minorHAnsi"/>
          <w:sz w:val="28"/>
          <w:szCs w:val="28"/>
          <w:highlight w:val="none"/>
          <w:lang w:val="ru-RU"/>
        </w:rPr>
        <w:t xml:space="preserve">  1371871,5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тыс.рублей или на 100,8</w:t>
      </w:r>
      <w:r>
        <w:rPr>
          <w:rFonts w:ascii="Tinos" w:hAnsi="Tinos" w:eastAsia="Tinos" w:cs="Tinos" w:eastAsiaTheme="minorHAnsi"/>
          <w:bCs/>
          <w:sz w:val="28"/>
          <w:szCs w:val="28"/>
          <w:highlight w:val="none"/>
        </w:rPr>
        <w:t xml:space="preserve">% , в том числе налоговые и н</w:t>
      </w:r>
      <w:r>
        <w:rPr>
          <w:rFonts w:ascii="Tinos" w:hAnsi="Tinos" w:eastAsia="Tinos" w:cs="Tinos" w:eastAsiaTheme="minorHAnsi"/>
          <w:bCs/>
          <w:sz w:val="28"/>
          <w:szCs w:val="28"/>
          <w:highlight w:val="none"/>
        </w:rPr>
        <w:t xml:space="preserve">еналоговые доходы в сумме </w:t>
      </w:r>
      <w:r>
        <w:rPr>
          <w:rFonts w:ascii="Tinos" w:hAnsi="Tinos" w:eastAsia="Tinos" w:cs="Tinos" w:eastAsiaTheme="minorHAnsi"/>
          <w:bCs/>
          <w:sz w:val="28"/>
          <w:szCs w:val="28"/>
          <w:highlight w:val="none"/>
        </w:rPr>
        <w:t xml:space="preserve">323509,5тыс.рублей или на 114</w:t>
      </w:r>
      <w:r>
        <w:rPr>
          <w:rFonts w:ascii="Tinos" w:hAnsi="Tinos" w:eastAsia="Tinos" w:cs="Tinos" w:eastAsiaTheme="minorHAnsi"/>
          <w:bCs/>
          <w:sz w:val="28"/>
          <w:szCs w:val="28"/>
          <w:highlight w:val="none"/>
        </w:rPr>
        <w:t xml:space="preserve">%, </w:t>
      </w:r>
      <w:r>
        <w:rPr>
          <w:rFonts w:ascii="Tinos" w:hAnsi="Tinos" w:eastAsia="Tinos" w:cs="Tinos" w:eastAsiaTheme="minorHAnsi"/>
          <w:bCs/>
          <w:sz w:val="28"/>
          <w:szCs w:val="28"/>
          <w:highlight w:val="none"/>
        </w:rPr>
        <w:t xml:space="preserve">безвозмездные поступления</w:t>
      </w:r>
      <w:r>
        <w:rPr>
          <w:rFonts w:ascii="Tinos" w:hAnsi="Tinos" w:eastAsia="Tinos" w:cs="Tinos" w:eastAsiaTheme="minorHAnsi"/>
          <w:bCs/>
          <w:sz w:val="28"/>
          <w:szCs w:val="28"/>
          <w:highlight w:val="none"/>
        </w:rPr>
        <w:t xml:space="preserve">  на </w:t>
      </w:r>
      <w:r>
        <w:rPr>
          <w:rFonts w:ascii="Tinos" w:hAnsi="Tinos" w:eastAsia="Tinos" w:cs="Tinos" w:eastAsiaTheme="minorHAnsi"/>
          <w:bCs/>
          <w:sz w:val="28"/>
          <w:szCs w:val="28"/>
          <w:highlight w:val="none"/>
        </w:rPr>
        <w:t xml:space="preserve"> 1048362,0тыс. рублей или 97 </w:t>
      </w:r>
      <w:r>
        <w:rPr>
          <w:rFonts w:ascii="Tinos" w:hAnsi="Tinos" w:eastAsia="Tinos" w:cs="Tinos" w:eastAsiaTheme="minorHAnsi"/>
          <w:bCs/>
          <w:sz w:val="28"/>
          <w:szCs w:val="28"/>
          <w:highlight w:val="none"/>
        </w:rPr>
        <w:t xml:space="preserve">%.</w:t>
      </w:r>
      <w:r>
        <w:rPr>
          <w:rFonts w:ascii="Tinos" w:hAnsi="Tinos" w:eastAsia="Tinos" w:cs="Tinos" w:eastAsiaTheme="minorHAnsi"/>
          <w:sz w:val="28"/>
          <w:highlight w:val="none"/>
        </w:rPr>
      </w:r>
      <w:r/>
    </w:p>
    <w:p>
      <w:pPr>
        <w:jc w:val="both"/>
        <w:spacing w:after="0" w:afterAutospacing="0" w:line="238" w:lineRule="auto"/>
        <w:rPr>
          <w:rFonts w:ascii="Tinos" w:hAnsi="Tinos" w:eastAsia="Tinos" w:cs="Tinos"/>
          <w:sz w:val="28"/>
          <w:highlight w:val="none"/>
        </w:rPr>
      </w:pP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Расходные обязательства бюд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жета исполнены в сумме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1367866,1тыс.рублей или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96 % от объема годовых назначений</w:t>
      </w:r>
      <w:r>
        <w:rPr>
          <w:rFonts w:eastAsiaTheme="minorHAnsi"/>
          <w:sz w:val="28"/>
          <w:highlight w:val="none"/>
        </w:rPr>
        <w:t xml:space="preserve">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в том числе по разделам:</w:t>
      </w:r>
      <w:r>
        <w:rPr>
          <w:rFonts w:ascii="Tinos" w:hAnsi="Tinos" w:eastAsia="Tinos" w:cs="Tinos" w:eastAsiaTheme="minorHAnsi"/>
          <w:sz w:val="28"/>
          <w:highlight w:val="none"/>
        </w:rPr>
      </w:r>
      <w:r/>
    </w:p>
    <w:p>
      <w:pPr>
        <w:pStyle w:val="821"/>
        <w:jc w:val="both"/>
        <w:spacing w:line="228" w:lineRule="auto"/>
        <w:rPr>
          <w:rFonts w:ascii="Tinos" w:hAnsi="Tinos" w:eastAsia="Tinos" w:cs="Tinos"/>
          <w:highlight w:val="none"/>
        </w:rPr>
      </w:pP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0100 «Общегосуда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рственные вопросы» - 123282,5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тыс.рублей (94%),</w:t>
      </w:r>
      <w:r>
        <w:rPr>
          <w:rFonts w:ascii="Tinos" w:hAnsi="Tinos" w:eastAsia="Tinos" w:cs="Tinos" w:eastAsiaTheme="minorHAnsi"/>
          <w:highlight w:val="none"/>
        </w:rPr>
      </w:r>
      <w:r/>
    </w:p>
    <w:p>
      <w:pPr>
        <w:pStyle w:val="821"/>
        <w:jc w:val="both"/>
        <w:spacing w:line="228" w:lineRule="auto"/>
        <w:rPr>
          <w:rFonts w:ascii="Tinos" w:hAnsi="Tinos" w:eastAsia="Tinos" w:cs="Tinos"/>
          <w:highlight w:val="none"/>
        </w:rPr>
      </w:pP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0300 «Национальная безопасность и правоохранитель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ная деятельность» на сумму 9145,2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тыс.рублей (97%),</w:t>
      </w:r>
      <w:r>
        <w:rPr>
          <w:rFonts w:ascii="Tinos" w:hAnsi="Tinos" w:eastAsia="Tinos" w:cs="Tinos" w:eastAsiaTheme="minorHAnsi"/>
          <w:highlight w:val="none"/>
        </w:rPr>
      </w:r>
      <w:r/>
    </w:p>
    <w:p>
      <w:pPr>
        <w:pStyle w:val="821"/>
        <w:jc w:val="both"/>
        <w:spacing w:line="228" w:lineRule="auto"/>
        <w:rPr>
          <w:rFonts w:ascii="Tinos" w:hAnsi="Tinos" w:eastAsia="Tinos" w:cs="Tinos"/>
          <w:highlight w:val="none"/>
        </w:rPr>
      </w:pP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0400 «Национ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альная экономика» -  119001,9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тыс.рублей (90%),</w:t>
      </w:r>
      <w:r>
        <w:rPr>
          <w:rFonts w:ascii="Tinos" w:hAnsi="Tinos" w:eastAsia="Tinos" w:cs="Tinos" w:eastAsiaTheme="minorHAnsi"/>
          <w:highlight w:val="none"/>
        </w:rPr>
      </w:r>
      <w:r/>
    </w:p>
    <w:p>
      <w:pPr>
        <w:pStyle w:val="821"/>
        <w:jc w:val="both"/>
        <w:spacing w:line="228" w:lineRule="auto"/>
        <w:rPr>
          <w:rFonts w:ascii="Tinos" w:hAnsi="Tinos" w:eastAsia="Tinos" w:cs="Tinos"/>
          <w:highlight w:val="none"/>
        </w:rPr>
      </w:pP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0500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«Жилищно-коммун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альное хозяйство»  -  25198,5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тыс.рублей (98%),</w:t>
      </w:r>
      <w:r>
        <w:rPr>
          <w:rFonts w:ascii="Tinos" w:hAnsi="Tinos" w:eastAsia="Tinos" w:cs="Tinos" w:eastAsiaTheme="minorHAnsi"/>
          <w:highlight w:val="none"/>
        </w:rPr>
      </w:r>
      <w:r/>
    </w:p>
    <w:p>
      <w:pPr>
        <w:pStyle w:val="821"/>
        <w:jc w:val="both"/>
        <w:spacing w:line="228" w:lineRule="auto"/>
        <w:rPr>
          <w:rFonts w:ascii="Tinos" w:hAnsi="Tinos" w:eastAsia="Tinos" w:cs="Tinos"/>
          <w:highlight w:val="none"/>
        </w:rPr>
      </w:pP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0600 «Охрана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окружающей среды» - 1316,8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тыс.рублей (68%),</w:t>
      </w:r>
      <w:r>
        <w:rPr>
          <w:rFonts w:ascii="Tinos" w:hAnsi="Tinos" w:eastAsia="Tinos" w:cs="Tinos" w:eastAsiaTheme="minorHAnsi"/>
          <w:highlight w:val="none"/>
        </w:rPr>
      </w:r>
      <w:r/>
    </w:p>
    <w:p>
      <w:pPr>
        <w:pStyle w:val="821"/>
        <w:jc w:val="both"/>
        <w:spacing w:line="228" w:lineRule="auto"/>
        <w:rPr>
          <w:rFonts w:ascii="Tinos" w:hAnsi="Tinos" w:eastAsia="Tinos" w:cs="Tinos"/>
          <w:sz w:val="28"/>
          <w:highlight w:val="none"/>
        </w:rPr>
      </w:pP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0700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« Образование» - 685918,5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тыс.рублей (96%),</w:t>
      </w:r>
      <w:r>
        <w:rPr>
          <w:rFonts w:ascii="Tinos" w:hAnsi="Tinos" w:eastAsia="Tinos" w:cs="Tinos" w:eastAsiaTheme="minorHAnsi"/>
          <w:sz w:val="28"/>
          <w:highlight w:val="none"/>
        </w:rPr>
      </w:r>
      <w:r/>
    </w:p>
    <w:p>
      <w:pPr>
        <w:pStyle w:val="821"/>
        <w:jc w:val="both"/>
        <w:spacing w:line="228" w:lineRule="auto"/>
        <w:rPr>
          <w:rFonts w:ascii="Tinos" w:hAnsi="Tinos" w:eastAsia="Tinos" w:cs="Tinos"/>
          <w:sz w:val="28"/>
          <w:szCs w:val="28"/>
          <w:highlight w:val="none"/>
        </w:rPr>
      </w:pPr>
      <w:r>
        <w:rPr>
          <w:rFonts w:ascii="Tinos" w:hAnsi="Tinos" w:eastAsia="Tinos" w:cs="Tinos" w:eastAsiaTheme="minorHAnsi"/>
          <w:sz w:val="28"/>
          <w:szCs w:val="28"/>
          <w:highlight w:val="none"/>
        </w:rPr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0800 «Культура, кинематография и средства м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ассовой информации» -91107,6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тыс.рублей (99,7%),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</w:r>
      <w:r/>
    </w:p>
    <w:p>
      <w:pPr>
        <w:pStyle w:val="821"/>
        <w:jc w:val="both"/>
        <w:spacing w:line="228" w:lineRule="auto"/>
        <w:rPr>
          <w:rFonts w:ascii="Tinos" w:hAnsi="Tinos" w:eastAsia="Tinos" w:cs="Tinos"/>
          <w:highlight w:val="none"/>
        </w:rPr>
      </w:pPr>
      <w:r>
        <w:rPr>
          <w:rFonts w:ascii="Tinos" w:hAnsi="Tinos" w:eastAsia="Tinos" w:cs="Tinos" w:eastAsiaTheme="minorHAnsi"/>
          <w:bCs/>
          <w:sz w:val="28"/>
          <w:szCs w:val="28"/>
          <w:highlight w:val="none"/>
        </w:rPr>
        <w:t xml:space="preserve">1000 «Соц</w:t>
      </w:r>
      <w:r>
        <w:rPr>
          <w:rFonts w:ascii="Tinos" w:hAnsi="Tinos" w:eastAsia="Tinos" w:cs="Tinos" w:eastAsiaTheme="minorHAnsi"/>
          <w:bCs/>
          <w:sz w:val="28"/>
          <w:szCs w:val="28"/>
          <w:highlight w:val="none"/>
        </w:rPr>
        <w:t xml:space="preserve">иальная политика» - 207852,5</w:t>
      </w:r>
      <w:r>
        <w:rPr>
          <w:rFonts w:ascii="Tinos" w:hAnsi="Tinos" w:eastAsia="Tinos" w:cs="Tinos" w:eastAsiaTheme="minorHAnsi"/>
          <w:bCs/>
          <w:sz w:val="28"/>
          <w:szCs w:val="28"/>
          <w:highlight w:val="none"/>
        </w:rPr>
        <w:t xml:space="preserve">тыс.рублей (96,4%),</w:t>
      </w:r>
      <w:r>
        <w:rPr>
          <w:rFonts w:ascii="Tinos" w:hAnsi="Tinos" w:eastAsia="Tinos" w:cs="Tinos" w:eastAsiaTheme="minorHAnsi"/>
          <w:highlight w:val="none"/>
        </w:rPr>
      </w:r>
      <w:r/>
    </w:p>
    <w:p>
      <w:pPr>
        <w:jc w:val="both"/>
        <w:spacing w:after="0" w:afterAutospacing="0" w:line="238" w:lineRule="auto"/>
        <w:rPr>
          <w:rFonts w:ascii="Tinos" w:hAnsi="Tinos" w:eastAsia="Tinos" w:cs="Tinos"/>
          <w:sz w:val="28"/>
        </w:rPr>
      </w:pPr>
      <w:r>
        <w:rPr>
          <w:rFonts w:ascii="Tinos" w:hAnsi="Tinos" w:eastAsia="Tinos" w:cs="Tinos" w:eastAsiaTheme="minorHAnsi"/>
          <w:sz w:val="28"/>
        </w:rPr>
        <w:t xml:space="preserve">1101 «Физическая культура и спорт» - 59432,3тыс.рублей.</w:t>
      </w:r>
      <w:r>
        <w:rPr>
          <w:rFonts w:ascii="Tinos" w:hAnsi="Tinos" w:eastAsia="Tinos" w:cs="Tinos" w:eastAsiaTheme="minorHAnsi"/>
          <w:sz w:val="28"/>
        </w:rPr>
      </w:r>
      <w:r/>
    </w:p>
    <w:p>
      <w:pPr>
        <w:jc w:val="both"/>
        <w:spacing w:after="0" w:afterAutospacing="0" w:line="238" w:lineRule="auto"/>
        <w:rPr>
          <w:rFonts w:ascii="Tinos" w:hAnsi="Tinos" w:eastAsia="Tinos" w:cs="Tinos"/>
          <w:highlight w:val="none"/>
        </w:rPr>
      </w:pPr>
      <w:r>
        <w:rPr>
          <w:rFonts w:ascii="Tinos" w:hAnsi="Tinos" w:eastAsia="Tinos" w:cs="Tinos" w:eastAsiaTheme="minorHAnsi"/>
          <w:sz w:val="28"/>
          <w:highlight w:val="none"/>
        </w:rPr>
        <w:t xml:space="preserve">Бюджет исполнен с превышением доходов над расходами в сумме  4005,4 тыс.рублей.</w:t>
      </w:r>
      <w:r>
        <w:rPr>
          <w:rFonts w:eastAsiaTheme="minorHAnsi"/>
        </w:rPr>
      </w:r>
      <w:r/>
    </w:p>
    <w:p>
      <w:pPr>
        <w:jc w:val="both"/>
        <w:spacing w:after="0" w:afterAutospacing="0" w:line="238" w:lineRule="auto"/>
        <w:rPr>
          <w:rFonts w:ascii="Tinos" w:hAnsi="Tinos" w:eastAsia="Tinos" w:cs="Tinos"/>
          <w:sz w:val="28"/>
          <w:highlight w:val="none"/>
        </w:rPr>
      </w:pPr>
      <w:r>
        <w:rPr>
          <w:rFonts w:ascii="Tinos" w:hAnsi="Tinos" w:eastAsia="Tinos" w:cs="Tinos" w:eastAsiaTheme="minorHAnsi"/>
          <w:sz w:val="28"/>
          <w:highlight w:val="none"/>
        </w:rPr>
        <w:t xml:space="preserve">Расходы на реализацию  муниципальных  программ составили  1221376,2 тыс.рублей   ( 89%   от общей суммы расходов).Непрограммные расходы  составили 146489,9 тыс.рублей   (11% от общей суммы расходов).</w:t>
      </w:r>
      <w:r>
        <w:rPr>
          <w:rFonts w:eastAsiaTheme="minorHAnsi"/>
        </w:rPr>
      </w:r>
      <w:r/>
    </w:p>
    <w:p>
      <w:pPr>
        <w:jc w:val="both"/>
        <w:spacing w:after="0" w:afterAutospacing="0" w:line="238" w:lineRule="auto"/>
        <w:rPr>
          <w:rFonts w:ascii="Tinos" w:hAnsi="Tinos" w:eastAsia="Tinos" w:cs="Tinos"/>
          <w:sz w:val="28"/>
          <w:highlight w:val="none"/>
        </w:rPr>
      </w:pPr>
      <w:r>
        <w:rPr>
          <w:rFonts w:ascii="Tinos" w:hAnsi="Tinos" w:eastAsia="Tinos" w:cs="Tinos" w:eastAsiaTheme="minorHAnsi"/>
          <w:sz w:val="28"/>
          <w:highlight w:val="none"/>
        </w:rPr>
        <w:t xml:space="preserve">     </w:t>
      </w:r>
      <w:r>
        <w:rPr>
          <w:rFonts w:ascii="Tinos" w:hAnsi="Tinos" w:eastAsia="Tinos" w:cs="Tinos" w:eastAsiaTheme="minorHAnsi"/>
          <w:color w:val="000000" w:themeColor="text1"/>
          <w:sz w:val="28"/>
          <w:szCs w:val="28"/>
        </w:rPr>
        <w:t xml:space="preserve">Факто</w:t>
      </w:r>
      <w:r>
        <w:rPr>
          <w:rFonts w:ascii="Tinos" w:hAnsi="Tinos" w:eastAsia="Tinos" w:cs="Tinos" w:eastAsiaTheme="minorHAnsi"/>
          <w:color w:val="000000" w:themeColor="text1"/>
          <w:sz w:val="28"/>
          <w:szCs w:val="28"/>
        </w:rPr>
        <w:t xml:space="preserve">в </w:t>
      </w:r>
      <w:r>
        <w:rPr>
          <w:rFonts w:ascii="Tinos" w:hAnsi="Tinos" w:eastAsia="Tinos" w:cs="Tinos"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nos" w:hAnsi="Tinos" w:eastAsia="Tinos" w:cs="Tinos" w:eastAsiaTheme="minorHAnsi"/>
          <w:color w:val="000000" w:themeColor="text1"/>
          <w:sz w:val="28"/>
          <w:szCs w:val="28"/>
        </w:rPr>
        <w:t xml:space="preserve">осуществления расходов, не предусмотренных бю</w:t>
      </w:r>
      <w:r>
        <w:rPr>
          <w:rFonts w:ascii="Tinos" w:hAnsi="Tinos" w:eastAsia="Tinos" w:cs="Tinos" w:eastAsiaTheme="minorHAnsi"/>
          <w:color w:val="000000" w:themeColor="text1"/>
          <w:sz w:val="28"/>
          <w:szCs w:val="28"/>
        </w:rPr>
        <w:t xml:space="preserve">джетом или </w:t>
      </w:r>
      <w:r>
        <w:rPr>
          <w:rFonts w:ascii="Tinos" w:hAnsi="Tinos" w:eastAsia="Tinos" w:cs="Tinos" w:eastAsiaTheme="minorHAnsi"/>
          <w:color w:val="000000" w:themeColor="text1"/>
          <w:sz w:val="28"/>
          <w:szCs w:val="28"/>
        </w:rPr>
        <w:t xml:space="preserve">осуществленных с</w:t>
      </w:r>
      <w:r>
        <w:rPr>
          <w:rFonts w:ascii="Tinos" w:hAnsi="Tinos" w:eastAsia="Tinos" w:cs="Tinos"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nos" w:hAnsi="Tinos" w:eastAsia="Tinos" w:cs="Tinos" w:eastAsiaTheme="minorHAnsi"/>
          <w:color w:val="000000" w:themeColor="text1"/>
          <w:sz w:val="28"/>
          <w:szCs w:val="28"/>
        </w:rPr>
        <w:t xml:space="preserve">превышением бюджетных ассигнований, проведенной проверкой не установлено.</w:t>
      </w:r>
      <w:r>
        <w:rPr>
          <w:rFonts w:ascii="Tinos" w:hAnsi="Tinos" w:eastAsia="Tinos" w:cs="Tinos"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nos" w:hAnsi="Tinos" w:eastAsia="Tinos" w:cs="Tinos" w:eastAsiaTheme="minorHAnsi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9">
    <w:name w:val="Heading 1"/>
    <w:basedOn w:val="815"/>
    <w:next w:val="815"/>
    <w:link w:val="64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0">
    <w:name w:val="Heading 1 Char"/>
    <w:link w:val="639"/>
    <w:uiPriority w:val="9"/>
    <w:rPr>
      <w:rFonts w:ascii="Arial" w:hAnsi="Arial" w:eastAsia="Arial" w:cs="Arial"/>
      <w:sz w:val="40"/>
      <w:szCs w:val="40"/>
    </w:rPr>
  </w:style>
  <w:style w:type="paragraph" w:styleId="641">
    <w:name w:val="Heading 2"/>
    <w:basedOn w:val="815"/>
    <w:next w:val="815"/>
    <w:link w:val="6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2">
    <w:name w:val="Heading 2 Char"/>
    <w:link w:val="641"/>
    <w:uiPriority w:val="9"/>
    <w:rPr>
      <w:rFonts w:ascii="Arial" w:hAnsi="Arial" w:eastAsia="Arial" w:cs="Arial"/>
      <w:sz w:val="34"/>
    </w:rPr>
  </w:style>
  <w:style w:type="paragraph" w:styleId="643">
    <w:name w:val="Heading 3"/>
    <w:basedOn w:val="815"/>
    <w:next w:val="815"/>
    <w:link w:val="6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4">
    <w:name w:val="Heading 3 Char"/>
    <w:link w:val="643"/>
    <w:uiPriority w:val="9"/>
    <w:rPr>
      <w:rFonts w:ascii="Arial" w:hAnsi="Arial" w:eastAsia="Arial" w:cs="Arial"/>
      <w:sz w:val="30"/>
      <w:szCs w:val="30"/>
    </w:rPr>
  </w:style>
  <w:style w:type="paragraph" w:styleId="645">
    <w:name w:val="Heading 4"/>
    <w:basedOn w:val="815"/>
    <w:next w:val="815"/>
    <w:link w:val="6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6">
    <w:name w:val="Heading 4 Char"/>
    <w:link w:val="645"/>
    <w:uiPriority w:val="9"/>
    <w:rPr>
      <w:rFonts w:ascii="Arial" w:hAnsi="Arial" w:eastAsia="Arial" w:cs="Arial"/>
      <w:b/>
      <w:bCs/>
      <w:sz w:val="26"/>
      <w:szCs w:val="26"/>
    </w:rPr>
  </w:style>
  <w:style w:type="paragraph" w:styleId="647">
    <w:name w:val="Heading 5"/>
    <w:basedOn w:val="815"/>
    <w:next w:val="815"/>
    <w:link w:val="6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8">
    <w:name w:val="Heading 5 Char"/>
    <w:link w:val="647"/>
    <w:uiPriority w:val="9"/>
    <w:rPr>
      <w:rFonts w:ascii="Arial" w:hAnsi="Arial" w:eastAsia="Arial" w:cs="Arial"/>
      <w:b/>
      <w:bCs/>
      <w:sz w:val="24"/>
      <w:szCs w:val="24"/>
    </w:rPr>
  </w:style>
  <w:style w:type="paragraph" w:styleId="649">
    <w:name w:val="Heading 6"/>
    <w:basedOn w:val="815"/>
    <w:next w:val="815"/>
    <w:link w:val="6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0">
    <w:name w:val="Heading 6 Char"/>
    <w:link w:val="649"/>
    <w:uiPriority w:val="9"/>
    <w:rPr>
      <w:rFonts w:ascii="Arial" w:hAnsi="Arial" w:eastAsia="Arial" w:cs="Arial"/>
      <w:b/>
      <w:bCs/>
      <w:sz w:val="22"/>
      <w:szCs w:val="22"/>
    </w:rPr>
  </w:style>
  <w:style w:type="paragraph" w:styleId="651">
    <w:name w:val="Heading 7"/>
    <w:basedOn w:val="815"/>
    <w:next w:val="815"/>
    <w:link w:val="6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2">
    <w:name w:val="Heading 7 Char"/>
    <w:link w:val="6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3">
    <w:name w:val="Heading 8"/>
    <w:basedOn w:val="815"/>
    <w:next w:val="815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4">
    <w:name w:val="Heading 8 Char"/>
    <w:link w:val="653"/>
    <w:uiPriority w:val="9"/>
    <w:rPr>
      <w:rFonts w:ascii="Arial" w:hAnsi="Arial" w:eastAsia="Arial" w:cs="Arial"/>
      <w:i/>
      <w:iCs/>
      <w:sz w:val="22"/>
      <w:szCs w:val="22"/>
    </w:rPr>
  </w:style>
  <w:style w:type="paragraph" w:styleId="655">
    <w:name w:val="Heading 9"/>
    <w:basedOn w:val="815"/>
    <w:next w:val="815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6">
    <w:name w:val="Heading 9 Char"/>
    <w:link w:val="655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Title"/>
    <w:basedOn w:val="815"/>
    <w:next w:val="815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link w:val="667"/>
    <w:uiPriority w:val="99"/>
  </w:style>
  <w:style w:type="paragraph" w:styleId="669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1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5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8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9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0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1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2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3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5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6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7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8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9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0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No Spacing"/>
    <w:basedOn w:val="815"/>
    <w:uiPriority w:val="1"/>
    <w:qFormat/>
    <w:pPr>
      <w:spacing w:after="0" w:line="240" w:lineRule="auto"/>
    </w:pPr>
  </w:style>
  <w:style w:type="paragraph" w:styleId="819">
    <w:name w:val="List Paragraph"/>
    <w:basedOn w:val="815"/>
    <w:uiPriority w:val="34"/>
    <w:qFormat/>
    <w:pPr>
      <w:contextualSpacing/>
      <w:ind w:left="720"/>
    </w:pPr>
  </w:style>
  <w:style w:type="character" w:styleId="820" w:default="1">
    <w:name w:val="Default Paragraph Font"/>
    <w:uiPriority w:val="1"/>
    <w:semiHidden/>
    <w:unhideWhenUsed/>
  </w:style>
  <w:style w:type="paragraph" w:styleId="821">
    <w:name w:val="Обычный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22">
    <w:name w:val="Основной текст с отступом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2024-04-26T10:46:12Z</dcterms:modified>
</cp:coreProperties>
</file>