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lineRule="auto" w:line="238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Информация </w:t>
      </w:r>
      <w:r>
        <w:rPr>
          <w:rFonts w:ascii="Tinos" w:hAnsi="Tinos" w:cs="Tinos" w:eastAsia="Tinos"/>
          <w:b/>
          <w:sz w:val="28"/>
        </w:rPr>
      </w:r>
      <w:r/>
    </w:p>
    <w:p>
      <w:pPr>
        <w:jc w:val="center"/>
        <w:spacing w:lineRule="auto" w:line="238" w:after="0" w:afterAutospacing="0"/>
        <w:rPr>
          <w:rFonts w:ascii="Tinos" w:hAnsi="Tinos" w:cs="Tinos" w:eastAsia="Tinos"/>
          <w:b/>
          <w:sz w:val="28"/>
        </w:rPr>
      </w:pPr>
      <w:r>
        <w:rPr>
          <w:rFonts w:ascii="Tinos" w:hAnsi="Tinos" w:cs="Tinos" w:eastAsia="Tinos"/>
          <w:b/>
          <w:sz w:val="28"/>
        </w:rPr>
        <w:t xml:space="preserve"> по результатам  экспертизы  проекта  решения  Муниципального совета Ровеньского района  «О местном бюджете  Ровеньского района  на 2023 год и плановый период 2024 и 2025 годов»</w:t>
      </w:r>
      <w:r>
        <w:rPr>
          <w:rFonts w:ascii="Tinos" w:hAnsi="Tinos" w:cs="Tinos" w:eastAsia="Tinos"/>
          <w:b/>
          <w:sz w:val="28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</w:rPr>
      </w:pPr>
      <w:r>
        <w:rPr>
          <w:rFonts w:ascii="Tinos" w:hAnsi="Tinos" w:cs="Tinos" w:eastAsia="Tinos"/>
          <w:sz w:val="28"/>
        </w:rPr>
        <w:t xml:space="preserve">     В контрольно-счетную  комиссию  Ровеньского  района  представлен</w:t>
      </w:r>
      <w:r>
        <w:rPr>
          <w:rFonts w:ascii="Tinos" w:hAnsi="Tinos" w:cs="Tinos" w:eastAsia="Tinos"/>
          <w:sz w:val="28"/>
        </w:rPr>
      </w:r>
      <w:r/>
    </w:p>
    <w:p>
      <w:pPr>
        <w:jc w:val="both"/>
        <w:spacing w:lineRule="auto" w:line="245" w:after="0"/>
        <w:rPr>
          <w:rFonts w:ascii="Times New Roman" w:hAnsi="Times New Roman" w:cs="Times New Roman"/>
          <w:sz w:val="28"/>
          <w:highlight w:val="none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«О местном бю</w:t>
      </w:r>
      <w:r>
        <w:rPr>
          <w:rFonts w:ascii="Times New Roman" w:hAnsi="Times New Roman" w:cs="Times New Roman"/>
          <w:sz w:val="28"/>
          <w:szCs w:val="28"/>
        </w:rPr>
        <w:t xml:space="preserve">джете Ровеньского района на 2023 год и плановый период 2024 и 2025</w:t>
      </w:r>
      <w:r>
        <w:rPr>
          <w:rFonts w:ascii="Times New Roman" w:hAnsi="Times New Roman" w:cs="Times New Roman"/>
          <w:sz w:val="28"/>
          <w:szCs w:val="28"/>
        </w:rPr>
        <w:t xml:space="preserve"> годов»  и  документы, согласно перечня  установленного ст. 184.2 Бюджетного кодекса РФ </w:t>
      </w:r>
      <w:r>
        <w:rPr>
          <w:rFonts w:ascii="Times New Roman" w:hAnsi="Times New Roman" w:cs="Times New Roman"/>
          <w:sz w:val="28"/>
          <w:szCs w:val="28"/>
        </w:rPr>
        <w:t xml:space="preserve"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 соответствии со ст.172 Бюджетного кодекса РФ проект решения  «О местном  бюджете  Ровеньского района на 2023 год и   плановый период 2024 и 2025 годов»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основывается на Прогнозе социально-экономического развития  Ровеньского района на 2023-2025 годы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,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основных направлениях бюджетной и налоговой политики на 2023 год и плановый период 2024 и 2025 годов, муниципальных программах.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</w:rPr>
        <w:t xml:space="preserve">    </w:t>
      </w:r>
      <w:r>
        <w:rPr>
          <w:rFonts w:ascii="Tinos" w:hAnsi="Tinos" w:cs="Tinos" w:eastAsia="Tinos"/>
          <w:sz w:val="28"/>
          <w:szCs w:val="28"/>
        </w:rPr>
        <w:t xml:space="preserve">   В соответствии со статьей 184.1 Бюджетного кодекса  РФ в представленном проекте  предлагаются к утверждению следующие основные характеристики местного  бюджета Ровеньского района: </w:t>
      </w:r>
      <w:r/>
    </w:p>
    <w:tbl>
      <w:tblPr>
        <w:tblW w:w="0" w:type="auto"/>
        <w:tblLook w:val="04A0" w:firstRow="1" w:lastRow="0" w:firstColumn="1" w:lastColumn="0" w:noHBand="0" w:noVBand="1"/>
      </w:tblPr>
      <w:tblGrid>
        <w:gridCol w:w="2392"/>
        <w:gridCol w:w="2393"/>
        <w:gridCol w:w="2393"/>
        <w:gridCol w:w="2393"/>
      </w:tblGrid>
      <w:tr>
        <w:trPr/>
        <w:tc>
          <w:tcPr>
            <w:tcW w:w="2392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  <w:highlight w:val="yellow"/>
              </w:rPr>
            </w:pPr>
            <w:r>
              <w:rPr>
                <w:rFonts w:ascii="Tinos" w:hAnsi="Tinos" w:cs="Tinos" w:eastAsia="Tinos"/>
                <w:sz w:val="28"/>
                <w:szCs w:val="28"/>
                <w:highlight w:val="yellow"/>
              </w:rPr>
            </w:r>
            <w:r>
              <w:rPr>
                <w:rFonts w:ascii="Tinos" w:hAnsi="Tinos" w:cs="Tinos" w:eastAsia="Tinos"/>
                <w:highlight w:val="yellow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2023 год</w:t>
            </w:r>
            <w:r>
              <w:rPr>
                <w:rFonts w:ascii="Tinos" w:hAnsi="Tinos" w:cs="Tinos" w:eastAsia="Tinos"/>
              </w:rPr>
            </w:r>
            <w:r/>
          </w:p>
          <w:p>
            <w:pPr>
              <w:jc w:val="center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(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тыс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.р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ублей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)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2024 год</w:t>
            </w:r>
            <w:r>
              <w:rPr>
                <w:rFonts w:ascii="Tinos" w:hAnsi="Tinos" w:cs="Tinos" w:eastAsia="Tinos"/>
              </w:rPr>
            </w:r>
            <w:r/>
          </w:p>
          <w:p>
            <w:pPr>
              <w:jc w:val="center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(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тыс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.р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ублей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)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center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2025 год</w:t>
            </w:r>
            <w:r>
              <w:rPr>
                <w:rFonts w:ascii="Tinos" w:hAnsi="Tinos" w:cs="Tinos" w:eastAsia="Tinos"/>
              </w:rPr>
            </w:r>
            <w:r/>
          </w:p>
          <w:p>
            <w:pPr>
              <w:jc w:val="center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(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тыс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.р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ублей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)</w:t>
            </w:r>
            <w:r>
              <w:rPr>
                <w:rFonts w:ascii="Tinos" w:hAnsi="Tinos" w:cs="Tinos" w:eastAsia="Tinos"/>
              </w:rPr>
            </w:r>
            <w:r/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Объем доходов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1336879,1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 1321980,2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1302182,1</w:t>
            </w:r>
            <w:r>
              <w:rPr>
                <w:rFonts w:ascii="Tinos" w:hAnsi="Tinos" w:cs="Tinos" w:eastAsia="Tinos"/>
              </w:rPr>
            </w:r>
            <w:r/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Объем расходов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1362631,1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 1321980,2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1302182,1</w:t>
            </w:r>
            <w:r>
              <w:rPr>
                <w:rFonts w:ascii="Tinos" w:hAnsi="Tinos" w:cs="Tinos" w:eastAsia="Tinos"/>
              </w:rPr>
            </w:r>
            <w:r/>
          </w:p>
        </w:tc>
      </w:tr>
      <w:tr>
        <w:trPr/>
        <w:tc>
          <w:tcPr>
            <w:tcW w:w="2392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Дефицит</w:t>
            </w:r>
            <w:r>
              <w:rPr>
                <w:rFonts w:ascii="Tinos" w:hAnsi="Tinos" w:cs="Tinos" w:eastAsia="Tinos"/>
                <w:sz w:val="28"/>
                <w:szCs w:val="28"/>
              </w:rPr>
              <w:t xml:space="preserve"> (-)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 25752,0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        0</w:t>
            </w:r>
            <w:r>
              <w:rPr>
                <w:rFonts w:ascii="Tinos" w:hAnsi="Tinos" w:cs="Tinos" w:eastAsia="Tinos"/>
              </w:rPr>
            </w:r>
            <w:r/>
          </w:p>
        </w:tc>
        <w:tc>
          <w:tcPr>
            <w:tcW w:w="2393" w:type="dxa"/>
            <w:textDirection w:val="lrTb"/>
            <w:noWrap w:val="false"/>
          </w:tcPr>
          <w:p>
            <w:pPr>
              <w:jc w:val="both"/>
              <w:spacing w:lineRule="auto" w:line="235" w:after="0" w:afterAutospacing="0"/>
              <w:rPr>
                <w:rFonts w:ascii="Tinos" w:hAnsi="Tinos" w:cs="Tinos" w:eastAsia="Tinos"/>
              </w:rPr>
            </w:pPr>
            <w:r>
              <w:rPr>
                <w:rFonts w:ascii="Tinos" w:hAnsi="Tinos" w:cs="Tinos" w:eastAsia="Tinos"/>
                <w:sz w:val="28"/>
                <w:szCs w:val="28"/>
              </w:rPr>
              <w:t xml:space="preserve">              0</w:t>
            </w:r>
            <w:r>
              <w:rPr>
                <w:rFonts w:ascii="Tinos" w:hAnsi="Tinos" w:cs="Tinos" w:eastAsia="Tinos"/>
              </w:rPr>
            </w:r>
            <w:r/>
          </w:p>
        </w:tc>
      </w:tr>
    </w:tbl>
    <w:p>
      <w:pPr>
        <w:jc w:val="both"/>
        <w:spacing w:lineRule="auto" w:line="23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 Запланированный объем доходов на 2023 год на 416287,9тыс. рублей или на  24% ниже ожидаемого поступления на 2022 год. Расходы местного бюджета планируются на  380551,8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тыс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.р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ублей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или на 22% ниже   ожидаемых расходов.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 Размер дефицита на 2023 год соответствует требованиям п.3 статьи 92.1 Бюджетного кодекса  РФ,   соста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вляет 9 % .</w:t>
      </w:r>
      <w:r>
        <w:rPr>
          <w:rFonts w:ascii="Tinos" w:hAnsi="Tinos" w:cs="Tinos" w:eastAsia="Tinos"/>
          <w:highlight w:val="none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  Требования статьи 96 Бюджетного кодекса РФ в части состава источников финансирования дефицита   местного  бюджета на 2023 год  соблюдены. В состав источников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включены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:</w:t>
      </w:r>
      <w:r>
        <w:rPr>
          <w:rFonts w:ascii="Tinos" w:hAnsi="Tinos" w:cs="Tinos" w:eastAsia="Tinos"/>
          <w:highlight w:val="none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- изменение остатков средств на счетах по учету средств бюджета- 25752,0 тыс. рублей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.</w:t>
      </w:r>
      <w:r>
        <w:rPr>
          <w:rFonts w:ascii="Tinos" w:hAnsi="Tinos" w:cs="Tinos" w:eastAsia="Tinos"/>
          <w:highlight w:val="none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Д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оходы местного  бюджета на 2023 год предусмотрены в объеме  1336879,1 тыс. рублей,  том числе: собственные доходы в сумме 283829,0тыс. рублей или  21% от общей суммы доходов, безвозмездные поступления в сумме 1053050,1тыс</w:t>
      </w:r>
      <w:r>
        <w:rPr>
          <w:rFonts w:ascii="Tinos" w:hAnsi="Tinos" w:cs="Tinos" w:eastAsia="Tinos"/>
          <w:b/>
          <w:sz w:val="28"/>
          <w:szCs w:val="28"/>
          <w:highlight w:val="none"/>
        </w:rPr>
        <w:t xml:space="preserve">.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рублей или  79%. </w:t>
      </w:r>
      <w:r>
        <w:rPr>
          <w:rFonts w:ascii="Tinos" w:hAnsi="Tinos" w:cs="Tinos" w:eastAsia="Tinos"/>
          <w:sz w:val="28"/>
          <w:szCs w:val="28"/>
        </w:rPr>
        <w:t xml:space="preserve">   В состав собственных доходов местного бюджета на 2023 год  входят:</w:t>
      </w:r>
      <w:r>
        <w:rPr>
          <w:rFonts w:ascii="Tinos" w:hAnsi="Tinos" w:cs="Tinos" w:eastAsia="Tinos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 налоговые доходы в сумме  272649,0 тыс. рублей или  96% от собственных доходов; </w:t>
      </w:r>
      <w:r>
        <w:rPr>
          <w:rFonts w:ascii="Tinos" w:hAnsi="Tinos" w:cs="Tinos" w:eastAsia="Tinos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-неналоговые доходы в сумме 11180,0 тыс. рублей или  4% от собственных доходов.</w:t>
      </w:r>
      <w:r>
        <w:rPr>
          <w:rFonts w:ascii="Tinos" w:hAnsi="Tinos" w:cs="Tinos" w:eastAsia="Tinos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   Формирование налоговых доходов, осуществлено на основе статьи 61.1 Бюджетного Кодекса РФ с учетом ожидаемой оценки поступления налоговых доходов в текущем году.</w:t>
      </w:r>
      <w:r>
        <w:rPr>
          <w:rFonts w:ascii="Tinos" w:hAnsi="Tinos" w:cs="Tinos" w:eastAsia="Tinos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jc w:val="both"/>
        <w:spacing w:lineRule="auto" w:line="24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  Проектом решения  расходы местного бюджета  на 2023 год планируются в размере  1362631,1тыс. рублей.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На плановый период 2024 и 2025 год расходы запланированы в сумме 1321980,2тыс. рублей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,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в том числе условно утвержденные в сумме 12664,0тыс.рублей и   1302182,1тыс. рублей в том числе условно утвержденные в сумме 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25556,0тыс.рублей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.</w:t>
      </w:r>
      <w:r>
        <w:rPr>
          <w:rFonts w:ascii="Tinos" w:hAnsi="Tinos" w:cs="Tinos" w:eastAsia="Tinos"/>
          <w:highlight w:val="none"/>
        </w:rPr>
      </w:r>
      <w:r/>
    </w:p>
    <w:p>
      <w:pPr>
        <w:jc w:val="both"/>
        <w:spacing w:lineRule="auto" w:line="235" w:after="0" w:afterAutospacing="0"/>
        <w:rPr>
          <w:rFonts w:ascii="Tinos" w:hAnsi="Tinos" w:cs="Tinos" w:eastAsia="Tinos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  <w:t xml:space="preserve">Основным принципом формирования рас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ходов местного бюджета на 2023 год и на плановый период 2024 и 2025 годов остается реализация программно-целевого метода планирования и исполнения бюджета. На финансовое 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обеспечение реализации</w:t>
      </w:r>
      <w:r>
        <w:rPr>
          <w:rFonts w:ascii="Tinos" w:hAnsi="Tinos" w:cs="Tinos" w:eastAsia="Tinos"/>
          <w:sz w:val="28"/>
          <w:szCs w:val="28"/>
          <w:highlight w:val="none"/>
        </w:rPr>
        <w:t xml:space="preserve"> 13 муниципальных программ  </w:t>
      </w:r>
      <w:r>
        <w:rPr>
          <w:rFonts w:ascii="Tinos" w:hAnsi="Tinos" w:cs="Tinos" w:eastAsia="Tinos"/>
          <w:color w:val="000000"/>
          <w:sz w:val="28"/>
          <w:szCs w:val="28"/>
          <w:highlight w:val="none"/>
        </w:rPr>
        <w:t xml:space="preserve"> в проекте местного бюджета на 2023 год предусмотрены в  сумме  1218279,1 тыс. руб. или 89,4 % от общих расходов бюджета </w:t>
      </w:r>
      <w:r>
        <w:rPr>
          <w:rFonts w:ascii="Tinos" w:hAnsi="Tinos" w:cs="Tinos" w:eastAsia="Tinos"/>
          <w:color w:val="000000"/>
          <w:sz w:val="28"/>
          <w:szCs w:val="28"/>
          <w:highlight w:val="none"/>
        </w:rPr>
        <w:t xml:space="preserve">, на 2024 год – 1170981,2тыс.рублей или  88%, 2025 год – 1134679,0тыс. рублей  или 87%.</w:t>
      </w:r>
      <w:r>
        <w:rPr>
          <w:highlight w:val="none"/>
        </w:rPr>
      </w:r>
      <w:r/>
    </w:p>
    <w:p>
      <w:pPr>
        <w:jc w:val="both"/>
        <w:spacing w:lineRule="auto" w:line="235" w:after="0" w:afterAutospacing="0"/>
        <w:shd w:val="clear" w:fill="FFFFFF" w:color="auto"/>
        <w:rPr>
          <w:rFonts w:ascii="Tinos" w:hAnsi="Tinos" w:cs="Tinos" w:eastAsia="Tinos"/>
        </w:rPr>
      </w:pPr>
      <w:r>
        <w:rPr>
          <w:rFonts w:ascii="Tinos" w:hAnsi="Tinos" w:cs="Tinos" w:eastAsia="Tinos"/>
          <w:sz w:val="28"/>
          <w:szCs w:val="28"/>
        </w:rPr>
        <w:t xml:space="preserve">Соблюден принцип сбалансированности местного бюджета Ровеньского района  на 2023 год и плановый период 2024 и 2025 годов, согласно статье 33 Бюджетного кодекса РФ;</w:t>
      </w:r>
      <w:r>
        <w:rPr>
          <w:rFonts w:ascii="Tinos" w:hAnsi="Tinos" w:cs="Tinos" w:eastAsia="Tinos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  <w:t xml:space="preserve">  </w:t>
      </w:r>
      <w:r>
        <w:rPr>
          <w:rFonts w:ascii="Tinos" w:hAnsi="Tinos" w:cs="Tinos" w:eastAsia="Tinos"/>
          <w:sz w:val="28"/>
          <w:szCs w:val="28"/>
        </w:rPr>
        <w:t xml:space="preserve"> По результатам проведенной экспертизы </w:t>
      </w:r>
      <w:r>
        <w:rPr>
          <w:rFonts w:ascii="Tinos" w:hAnsi="Tinos" w:cs="Tinos" w:eastAsia="Tinos"/>
          <w:sz w:val="28"/>
          <w:szCs w:val="28"/>
        </w:rPr>
        <w:t xml:space="preserve">  Контрольно-счетная   комиссия  Ровеньского района  </w:t>
      </w:r>
      <w:r>
        <w:rPr>
          <w:rFonts w:ascii="Tinos" w:hAnsi="Tinos" w:cs="Tinos" w:eastAsia="Tinos"/>
          <w:sz w:val="28"/>
        </w:rPr>
        <w:t xml:space="preserve"> считает, </w:t>
      </w:r>
      <w:r>
        <w:rPr>
          <w:rFonts w:ascii="Tinos" w:hAnsi="Tinos" w:cs="Tinos" w:eastAsia="Tinos"/>
          <w:sz w:val="28"/>
          <w:szCs w:val="28"/>
        </w:rPr>
        <w:t xml:space="preserve"> что проект решения Муниципального совета  муниципального района «</w:t>
      </w:r>
      <w:r>
        <w:rPr>
          <w:rFonts w:ascii="Tinos" w:hAnsi="Tinos" w:cs="Tinos" w:eastAsia="Tinos"/>
          <w:sz w:val="28"/>
          <w:szCs w:val="28"/>
        </w:rPr>
        <w:t xml:space="preserve">Ровеньский</w:t>
      </w:r>
      <w:r>
        <w:rPr>
          <w:rFonts w:ascii="Tinos" w:hAnsi="Tinos" w:cs="Tinos" w:eastAsia="Tinos"/>
          <w:sz w:val="28"/>
          <w:szCs w:val="28"/>
        </w:rPr>
        <w:t xml:space="preserve"> район»  «О  местном бюджете Ровеньского района на 2023 год  и плановый период  2024 и 2025годов» </w:t>
      </w:r>
      <w:r>
        <w:rPr>
          <w:rFonts w:ascii="Tinos" w:hAnsi="Tinos" w:cs="Tinos" w:eastAsia="Tinos"/>
          <w:sz w:val="28"/>
        </w:rPr>
        <w:t xml:space="preserve">  соответствует требованиям законодательства и </w:t>
      </w:r>
      <w:r>
        <w:rPr>
          <w:rFonts w:ascii="Tinos" w:hAnsi="Tinos" w:cs="Tinos" w:eastAsia="Tinos"/>
          <w:sz w:val="28"/>
          <w:szCs w:val="28"/>
        </w:rPr>
        <w:t xml:space="preserve">рекомендован  к рассмотрению  Муниципальному совету Ровеньского района.</w:t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szCs w:val="28"/>
          <w:highlight w:val="none"/>
        </w:rPr>
      </w:pPr>
      <w:r>
        <w:rPr>
          <w:rFonts w:ascii="Tinos" w:hAnsi="Tinos" w:cs="Tinos" w:eastAsia="Tinos"/>
          <w:sz w:val="28"/>
          <w:szCs w:val="28"/>
          <w:highlight w:val="none"/>
        </w:rPr>
      </w:r>
      <w:r>
        <w:rPr>
          <w:rFonts w:ascii="Tinos" w:hAnsi="Tinos" w:cs="Tinos" w:eastAsia="Tinos"/>
          <w:sz w:val="28"/>
          <w:szCs w:val="28"/>
          <w:highlight w:val="none"/>
        </w:rPr>
        <w:t xml:space="preserve"> </w:t>
      </w:r>
      <w:r>
        <w:rPr>
          <w:rFonts w:ascii="Tinos" w:hAnsi="Tinos" w:cs="Tinos" w:eastAsia="Tinos"/>
          <w:sz w:val="28"/>
          <w:szCs w:val="28"/>
          <w:highlight w:val="none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p>
      <w:pPr>
        <w:jc w:val="both"/>
        <w:spacing w:lineRule="auto" w:line="238" w:after="0" w:afterAutospacing="0"/>
        <w:rPr>
          <w:rFonts w:ascii="Tinos" w:hAnsi="Tinos" w:cs="Tinos" w:eastAsia="Tinos"/>
          <w:sz w:val="28"/>
          <w:highlight w:val="none"/>
        </w:rPr>
      </w:pPr>
      <w:r>
        <w:rPr>
          <w:rFonts w:ascii="Tinos" w:hAnsi="Tinos" w:cs="Tinos" w:eastAsia="Tinos"/>
          <w:sz w:val="28"/>
          <w:highlight w:val="none"/>
        </w:rPr>
      </w:r>
      <w:r>
        <w:rPr>
          <w:rFonts w:ascii="Tinos" w:hAnsi="Tinos" w:cs="Tinos" w:eastAsia="Tinos"/>
          <w:sz w:val="28"/>
          <w:highlight w:val="none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>
        <w:separator/>
      </w:r>
      <w:r/>
    </w:p>
  </w:endnote>
  <w:endnote w:type="continuationSeparator" w:id="0">
    <w:p>
      <w:pPr>
        <w:spacing w:lineRule="auto" w:line="240" w:after="0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Tinos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>
        <w:separator/>
      </w:r>
      <w:r/>
    </w:p>
  </w:footnote>
  <w:footnote w:type="continuationSeparator" w:id="0">
    <w:p>
      <w:pPr>
        <w:spacing w:lineRule="auto" w:line="240" w:after="0"/>
      </w:pPr>
      <w:r>
        <w:continuationSeparator/>
      </w:r>
      <w:r/>
    </w:p>
  </w:footnote>
</w:footnotes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/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."/>
  <w:listSeparator w:val=","/>
  <w:compat>
    <w:compatSetting w:name="compatibilityMode" w:uri="http://schemas.microsoft.com/office/word" w:val="16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0"/>
    <w:next w:val="810"/>
    <w:link w:val="635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635">
    <w:name w:val="Heading 1 Char"/>
    <w:link w:val="634"/>
    <w:uiPriority w:val="9"/>
    <w:rPr>
      <w:rFonts w:ascii="Arial" w:hAnsi="Arial" w:cs="Arial" w:eastAsia="Arial"/>
      <w:sz w:val="40"/>
      <w:szCs w:val="40"/>
    </w:rPr>
  </w:style>
  <w:style w:type="paragraph" w:styleId="636">
    <w:name w:val="Heading 2"/>
    <w:basedOn w:val="810"/>
    <w:next w:val="810"/>
    <w:link w:val="637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637">
    <w:name w:val="Heading 2 Char"/>
    <w:link w:val="636"/>
    <w:uiPriority w:val="9"/>
    <w:rPr>
      <w:rFonts w:ascii="Arial" w:hAnsi="Arial" w:cs="Arial" w:eastAsia="Arial"/>
      <w:sz w:val="34"/>
    </w:rPr>
  </w:style>
  <w:style w:type="paragraph" w:styleId="638">
    <w:name w:val="Heading 3"/>
    <w:basedOn w:val="810"/>
    <w:next w:val="810"/>
    <w:link w:val="6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639">
    <w:name w:val="Heading 3 Char"/>
    <w:link w:val="638"/>
    <w:uiPriority w:val="9"/>
    <w:rPr>
      <w:rFonts w:ascii="Arial" w:hAnsi="Arial" w:cs="Arial" w:eastAsia="Arial"/>
      <w:sz w:val="30"/>
      <w:szCs w:val="30"/>
    </w:rPr>
  </w:style>
  <w:style w:type="paragraph" w:styleId="640">
    <w:name w:val="Heading 4"/>
    <w:basedOn w:val="810"/>
    <w:next w:val="810"/>
    <w:link w:val="641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641">
    <w:name w:val="Heading 4 Char"/>
    <w:link w:val="640"/>
    <w:uiPriority w:val="9"/>
    <w:rPr>
      <w:rFonts w:ascii="Arial" w:hAnsi="Arial" w:cs="Arial" w:eastAsia="Arial"/>
      <w:b/>
      <w:bCs/>
      <w:sz w:val="26"/>
      <w:szCs w:val="26"/>
    </w:rPr>
  </w:style>
  <w:style w:type="paragraph" w:styleId="642">
    <w:name w:val="Heading 5"/>
    <w:basedOn w:val="810"/>
    <w:next w:val="810"/>
    <w:link w:val="643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643">
    <w:name w:val="Heading 5 Char"/>
    <w:link w:val="642"/>
    <w:uiPriority w:val="9"/>
    <w:rPr>
      <w:rFonts w:ascii="Arial" w:hAnsi="Arial" w:cs="Arial" w:eastAsia="Arial"/>
      <w:b/>
      <w:bCs/>
      <w:sz w:val="24"/>
      <w:szCs w:val="24"/>
    </w:rPr>
  </w:style>
  <w:style w:type="paragraph" w:styleId="644">
    <w:name w:val="Heading 6"/>
    <w:basedOn w:val="810"/>
    <w:next w:val="810"/>
    <w:link w:val="645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645">
    <w:name w:val="Heading 6 Char"/>
    <w:link w:val="644"/>
    <w:uiPriority w:val="9"/>
    <w:rPr>
      <w:rFonts w:ascii="Arial" w:hAnsi="Arial" w:cs="Arial" w:eastAsia="Arial"/>
      <w:b/>
      <w:bCs/>
      <w:sz w:val="22"/>
      <w:szCs w:val="22"/>
    </w:rPr>
  </w:style>
  <w:style w:type="paragraph" w:styleId="646">
    <w:name w:val="Heading 7"/>
    <w:basedOn w:val="810"/>
    <w:next w:val="810"/>
    <w:link w:val="647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647">
    <w:name w:val="Heading 7 Char"/>
    <w:link w:val="64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648">
    <w:name w:val="Heading 8"/>
    <w:basedOn w:val="810"/>
    <w:next w:val="810"/>
    <w:link w:val="649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649">
    <w:name w:val="Heading 8 Char"/>
    <w:link w:val="648"/>
    <w:uiPriority w:val="9"/>
    <w:rPr>
      <w:rFonts w:ascii="Arial" w:hAnsi="Arial" w:cs="Arial" w:eastAsia="Arial"/>
      <w:i/>
      <w:iCs/>
      <w:sz w:val="22"/>
      <w:szCs w:val="22"/>
    </w:rPr>
  </w:style>
  <w:style w:type="paragraph" w:styleId="650">
    <w:name w:val="Heading 9"/>
    <w:basedOn w:val="810"/>
    <w:next w:val="810"/>
    <w:link w:val="651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651">
    <w:name w:val="Heading 9 Char"/>
    <w:link w:val="650"/>
    <w:uiPriority w:val="9"/>
    <w:rPr>
      <w:rFonts w:ascii="Arial" w:hAnsi="Arial" w:cs="Arial" w:eastAsia="Arial"/>
      <w:i/>
      <w:iCs/>
      <w:sz w:val="21"/>
      <w:szCs w:val="21"/>
    </w:rPr>
  </w:style>
  <w:style w:type="paragraph" w:styleId="652">
    <w:name w:val="Title"/>
    <w:basedOn w:val="810"/>
    <w:next w:val="810"/>
    <w:link w:val="65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653">
    <w:name w:val="Title Char"/>
    <w:link w:val="652"/>
    <w:uiPriority w:val="10"/>
    <w:rPr>
      <w:sz w:val="48"/>
      <w:szCs w:val="48"/>
    </w:rPr>
  </w:style>
  <w:style w:type="paragraph" w:styleId="654">
    <w:name w:val="Subtitle"/>
    <w:basedOn w:val="810"/>
    <w:next w:val="810"/>
    <w:link w:val="655"/>
    <w:qFormat/>
    <w:uiPriority w:val="11"/>
    <w:rPr>
      <w:sz w:val="24"/>
      <w:szCs w:val="24"/>
    </w:rPr>
    <w:pPr>
      <w:spacing w:after="200" w:before="200"/>
    </w:pPr>
  </w:style>
  <w:style w:type="character" w:styleId="655">
    <w:name w:val="Subtitle Char"/>
    <w:link w:val="654"/>
    <w:uiPriority w:val="11"/>
    <w:rPr>
      <w:sz w:val="24"/>
      <w:szCs w:val="24"/>
    </w:rPr>
  </w:style>
  <w:style w:type="paragraph" w:styleId="656">
    <w:name w:val="Quote"/>
    <w:basedOn w:val="810"/>
    <w:next w:val="810"/>
    <w:link w:val="657"/>
    <w:qFormat/>
    <w:uiPriority w:val="29"/>
    <w:rPr>
      <w:i/>
    </w:rPr>
    <w:pPr>
      <w:ind w:left="720" w:right="720"/>
    </w:pPr>
  </w:style>
  <w:style w:type="character" w:styleId="657">
    <w:name w:val="Quote Char"/>
    <w:link w:val="656"/>
    <w:uiPriority w:val="29"/>
    <w:rPr>
      <w:i/>
    </w:rPr>
  </w:style>
  <w:style w:type="paragraph" w:styleId="658">
    <w:name w:val="Intense Quote"/>
    <w:basedOn w:val="810"/>
    <w:next w:val="810"/>
    <w:link w:val="65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659">
    <w:name w:val="Intense Quote Char"/>
    <w:link w:val="658"/>
    <w:uiPriority w:val="30"/>
    <w:rPr>
      <w:i/>
    </w:rPr>
  </w:style>
  <w:style w:type="paragraph" w:styleId="660">
    <w:name w:val="Header"/>
    <w:basedOn w:val="810"/>
    <w:link w:val="66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1">
    <w:name w:val="Header Char"/>
    <w:link w:val="660"/>
    <w:uiPriority w:val="99"/>
  </w:style>
  <w:style w:type="paragraph" w:styleId="662">
    <w:name w:val="Footer"/>
    <w:basedOn w:val="810"/>
    <w:link w:val="66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663">
    <w:name w:val="Footer Char"/>
    <w:link w:val="662"/>
    <w:uiPriority w:val="99"/>
  </w:style>
  <w:style w:type="paragraph" w:styleId="664">
    <w:name w:val="Caption"/>
    <w:basedOn w:val="810"/>
    <w:next w:val="810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665">
    <w:name w:val="Caption Char"/>
    <w:basedOn w:val="664"/>
    <w:link w:val="662"/>
    <w:uiPriority w:val="99"/>
  </w:style>
  <w:style w:type="table" w:styleId="666">
    <w:name w:val="Table Grid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7">
    <w:name w:val="Table Grid Light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8">
    <w:name w:val="Plain Table 1"/>
    <w:basedOn w:val="811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69">
    <w:name w:val="Plain Table 2"/>
    <w:basedOn w:val="811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1">
    <w:name w:val="Plain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2">
    <w:name w:val="Plain Table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673">
    <w:name w:val="Grid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4">
    <w:name w:val="Grid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81">
    <w:name w:val="Grid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82">
    <w:name w:val="Grid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83">
    <w:name w:val="Grid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84">
    <w:name w:val="Grid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85">
    <w:name w:val="Grid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86">
    <w:name w:val="Grid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87">
    <w:name w:val="Grid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8">
    <w:name w:val="Grid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9">
    <w:name w:val="Grid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0">
    <w:name w:val="Grid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1">
    <w:name w:val="Grid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2">
    <w:name w:val="Grid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3">
    <w:name w:val="Grid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4">
    <w:name w:val="Grid Table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695">
    <w:name w:val="Grid Table 4 - Accent 1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696">
    <w:name w:val="Grid Table 4 - Accent 2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697">
    <w:name w:val="Grid Table 4 - Accent 3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698">
    <w:name w:val="Grid Table 4 - Accent 4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699">
    <w:name w:val="Grid Table 4 - Accent 5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700">
    <w:name w:val="Grid Table 4 - Accent 6"/>
    <w:basedOn w:val="811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701">
    <w:name w:val="Grid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702">
    <w:name w:val="Grid Table 5 Dark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703">
    <w:name w:val="Grid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704">
    <w:name w:val="Grid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705">
    <w:name w:val="Grid Table 5 Dark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706">
    <w:name w:val="Grid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707">
    <w:name w:val="Grid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708">
    <w:name w:val="Grid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09">
    <w:name w:val="Grid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0">
    <w:name w:val="Grid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1">
    <w:name w:val="Grid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2">
    <w:name w:val="Grid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3">
    <w:name w:val="Grid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4">
    <w:name w:val="Grid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716">
    <w:name w:val="Grid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717">
    <w:name w:val="Grid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718">
    <w:name w:val="Grid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719">
    <w:name w:val="Grid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720">
    <w:name w:val="Grid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721">
    <w:name w:val="Grid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722">
    <w:name w:val="List Table 1 Light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723">
    <w:name w:val="List Table 1 Light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724">
    <w:name w:val="List Table 1 Light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725">
    <w:name w:val="List Table 1 Light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726">
    <w:name w:val="List Table 1 Light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727">
    <w:name w:val="List Table 1 Light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728">
    <w:name w:val="List Table 1 Light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729">
    <w:name w:val="List Table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730">
    <w:name w:val="List Table 2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731">
    <w:name w:val="List Table 2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732">
    <w:name w:val="List Table 2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733">
    <w:name w:val="List Table 2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734">
    <w:name w:val="List Table 2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735">
    <w:name w:val="List Table 2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736">
    <w:name w:val="List Table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7">
    <w:name w:val="List Table 3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5 Dark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1">
    <w:name w:val="List Table 5 Dark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6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758">
    <w:name w:val="List Table 6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759">
    <w:name w:val="List Table 6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760">
    <w:name w:val="List Table 6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761">
    <w:name w:val="List Table 6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762">
    <w:name w:val="List Table 6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763">
    <w:name w:val="List Table 6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764">
    <w:name w:val="List Table 7 Colorful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text1" w:themeTint="80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5">
    <w:name w:val="List Table 7 Colorful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6">
    <w:name w:val="List Table 7 Colorful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7">
    <w:name w:val="List Table 7 Colorful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3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8">
    <w:name w:val="List Table 7 Colorful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69">
    <w:name w:val="List Table 7 Colorful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5" w:themeTint="9A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0">
    <w:name w:val="List Table 7 Colorful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single" w:color="000000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Fill="light1" w:themeColor="light1"/>
        <w:tcBorders>
          <w:left w:val="none" w:color="000000" w:sz="4" w:space="0"/>
          <w:top w:val="single" w:color="000000" w:sz="4" w:space="0" w:themeColor="accent6" w:themeTint="98"/>
          <w:right w:val="none" w:color="000000" w:sz="4" w:space="0"/>
          <w:bottom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1">
    <w:name w:val="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2">
    <w:name w:val="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73">
    <w:name w:val="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74">
    <w:name w:val="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75">
    <w:name w:val="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76">
    <w:name w:val="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77">
    <w:name w:val="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78">
    <w:name w:val="Bordered &amp; Lined - Accent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779">
    <w:name w:val="Bordered &amp; Lined - Accent 1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780">
    <w:name w:val="Bordered &amp; Lined - Accent 2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781">
    <w:name w:val="Bordered &amp; Lined - Accent 3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782">
    <w:name w:val="Bordered &amp; Lined - Accent 4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783">
    <w:name w:val="Bordered &amp; Lined - Accent 5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784">
    <w:name w:val="Bordered &amp; Lined - Accent 6"/>
    <w:basedOn w:val="811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785">
    <w:name w:val="Bordered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786">
    <w:name w:val="Bordered - Accent 1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787">
    <w:name w:val="Bordered - Accent 2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788">
    <w:name w:val="Bordered - Accent 3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789">
    <w:name w:val="Bordered - Accent 4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790">
    <w:name w:val="Bordered - Accent 5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791">
    <w:name w:val="Bordered - Accent 6"/>
    <w:basedOn w:val="811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792">
    <w:name w:val="Hyperlink"/>
    <w:uiPriority w:val="99"/>
    <w:unhideWhenUsed/>
    <w:rPr>
      <w:color w:val="0000FF" w:themeColor="hyperlink"/>
      <w:u w:val="single"/>
    </w:rPr>
  </w:style>
  <w:style w:type="paragraph" w:styleId="793">
    <w:name w:val="footnote text"/>
    <w:basedOn w:val="810"/>
    <w:link w:val="794"/>
    <w:uiPriority w:val="99"/>
    <w:semiHidden/>
    <w:unhideWhenUsed/>
    <w:rPr>
      <w:sz w:val="18"/>
    </w:rPr>
    <w:pPr>
      <w:spacing w:lineRule="auto" w:line="240" w:after="40"/>
    </w:pPr>
  </w:style>
  <w:style w:type="character" w:styleId="794">
    <w:name w:val="Footnote Text Char"/>
    <w:link w:val="793"/>
    <w:uiPriority w:val="99"/>
    <w:rPr>
      <w:sz w:val="18"/>
    </w:rPr>
  </w:style>
  <w:style w:type="character" w:styleId="795">
    <w:name w:val="footnote reference"/>
    <w:uiPriority w:val="99"/>
    <w:unhideWhenUsed/>
    <w:rPr>
      <w:vertAlign w:val="superscript"/>
    </w:rPr>
  </w:style>
  <w:style w:type="paragraph" w:styleId="796">
    <w:name w:val="endnote text"/>
    <w:basedOn w:val="810"/>
    <w:link w:val="797"/>
    <w:uiPriority w:val="99"/>
    <w:semiHidden/>
    <w:unhideWhenUsed/>
    <w:rPr>
      <w:sz w:val="20"/>
    </w:rPr>
    <w:pPr>
      <w:spacing w:lineRule="auto" w:line="240" w:after="0"/>
    </w:pPr>
  </w:style>
  <w:style w:type="character" w:styleId="797">
    <w:name w:val="Endnote Text Char"/>
    <w:link w:val="796"/>
    <w:uiPriority w:val="99"/>
    <w:rPr>
      <w:sz w:val="20"/>
    </w:rPr>
  </w:style>
  <w:style w:type="character" w:styleId="798">
    <w:name w:val="endnote reference"/>
    <w:uiPriority w:val="99"/>
    <w:semiHidden/>
    <w:unhideWhenUsed/>
    <w:rPr>
      <w:vertAlign w:val="superscript"/>
    </w:rPr>
  </w:style>
  <w:style w:type="paragraph" w:styleId="799">
    <w:name w:val="toc 1"/>
    <w:basedOn w:val="810"/>
    <w:next w:val="810"/>
    <w:uiPriority w:val="39"/>
    <w:unhideWhenUsed/>
    <w:pPr>
      <w:ind w:left="0" w:right="0" w:firstLine="0"/>
      <w:spacing w:after="57"/>
    </w:pPr>
  </w:style>
  <w:style w:type="paragraph" w:styleId="800">
    <w:name w:val="toc 2"/>
    <w:basedOn w:val="810"/>
    <w:next w:val="810"/>
    <w:uiPriority w:val="39"/>
    <w:unhideWhenUsed/>
    <w:pPr>
      <w:ind w:left="283" w:right="0" w:firstLine="0"/>
      <w:spacing w:after="57"/>
    </w:pPr>
  </w:style>
  <w:style w:type="paragraph" w:styleId="801">
    <w:name w:val="toc 3"/>
    <w:basedOn w:val="810"/>
    <w:next w:val="810"/>
    <w:uiPriority w:val="39"/>
    <w:unhideWhenUsed/>
    <w:pPr>
      <w:ind w:left="567" w:right="0" w:firstLine="0"/>
      <w:spacing w:after="57"/>
    </w:pPr>
  </w:style>
  <w:style w:type="paragraph" w:styleId="802">
    <w:name w:val="toc 4"/>
    <w:basedOn w:val="810"/>
    <w:next w:val="810"/>
    <w:uiPriority w:val="39"/>
    <w:unhideWhenUsed/>
    <w:pPr>
      <w:ind w:left="850" w:right="0" w:firstLine="0"/>
      <w:spacing w:after="57"/>
    </w:pPr>
  </w:style>
  <w:style w:type="paragraph" w:styleId="803">
    <w:name w:val="toc 5"/>
    <w:basedOn w:val="810"/>
    <w:next w:val="810"/>
    <w:uiPriority w:val="39"/>
    <w:unhideWhenUsed/>
    <w:pPr>
      <w:ind w:left="1134" w:right="0" w:firstLine="0"/>
      <w:spacing w:after="57"/>
    </w:pPr>
  </w:style>
  <w:style w:type="paragraph" w:styleId="804">
    <w:name w:val="toc 6"/>
    <w:basedOn w:val="810"/>
    <w:next w:val="810"/>
    <w:uiPriority w:val="39"/>
    <w:unhideWhenUsed/>
    <w:pPr>
      <w:ind w:left="1417" w:right="0" w:firstLine="0"/>
      <w:spacing w:after="57"/>
    </w:pPr>
  </w:style>
  <w:style w:type="paragraph" w:styleId="805">
    <w:name w:val="toc 7"/>
    <w:basedOn w:val="810"/>
    <w:next w:val="810"/>
    <w:uiPriority w:val="39"/>
    <w:unhideWhenUsed/>
    <w:pPr>
      <w:ind w:left="1701" w:right="0" w:firstLine="0"/>
      <w:spacing w:after="57"/>
    </w:pPr>
  </w:style>
  <w:style w:type="paragraph" w:styleId="806">
    <w:name w:val="toc 8"/>
    <w:basedOn w:val="810"/>
    <w:next w:val="810"/>
    <w:uiPriority w:val="39"/>
    <w:unhideWhenUsed/>
    <w:pPr>
      <w:ind w:left="1984" w:right="0" w:firstLine="0"/>
      <w:spacing w:after="57"/>
    </w:pPr>
  </w:style>
  <w:style w:type="paragraph" w:styleId="807">
    <w:name w:val="toc 9"/>
    <w:basedOn w:val="810"/>
    <w:next w:val="810"/>
    <w:uiPriority w:val="39"/>
    <w:unhideWhenUsed/>
    <w:pPr>
      <w:ind w:left="2268" w:right="0" w:firstLine="0"/>
      <w:spacing w:after="57"/>
    </w:pPr>
  </w:style>
  <w:style w:type="paragraph" w:styleId="808">
    <w:name w:val="TOC Heading"/>
    <w:uiPriority w:val="39"/>
    <w:unhideWhenUsed/>
  </w:style>
  <w:style w:type="paragraph" w:styleId="809">
    <w:name w:val="table of figures"/>
    <w:basedOn w:val="810"/>
    <w:next w:val="810"/>
    <w:uiPriority w:val="99"/>
    <w:unhideWhenUsed/>
    <w:pPr>
      <w:spacing w:after="0" w:afterAutospacing="0"/>
    </w:pPr>
  </w:style>
  <w:style w:type="paragraph" w:styleId="810" w:default="1">
    <w:name w:val="Normal"/>
    <w:qFormat/>
  </w:style>
  <w:style w:type="table" w:styleId="811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2" w:default="1">
    <w:name w:val="No List"/>
    <w:uiPriority w:val="99"/>
    <w:semiHidden/>
    <w:unhideWhenUsed/>
  </w:style>
  <w:style w:type="paragraph" w:styleId="813">
    <w:name w:val="No Spacing"/>
    <w:basedOn w:val="810"/>
    <w:qFormat/>
    <w:uiPriority w:val="1"/>
    <w:pPr>
      <w:spacing w:lineRule="auto" w:line="240" w:after="0"/>
    </w:pPr>
  </w:style>
  <w:style w:type="paragraph" w:styleId="814">
    <w:name w:val="List Paragraph"/>
    <w:basedOn w:val="810"/>
    <w:qFormat/>
    <w:uiPriority w:val="34"/>
    <w:pPr>
      <w:contextualSpacing w:val="true"/>
      <w:ind w:left="720"/>
    </w:pPr>
  </w:style>
  <w:style w:type="character" w:styleId="815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PT Sans"/>
        <a:ea typeface="PT Sans"/>
        <a:cs typeface="PT Sans"/>
      </a:majorFont>
      <a:minorFont>
        <a:latin typeface="PT Sans"/>
        <a:ea typeface="PT Sans"/>
        <a:cs typeface="PT Sans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4</cp:revision>
  <dcterms:modified xsi:type="dcterms:W3CDTF">2022-12-29T13:56:00Z</dcterms:modified>
</cp:coreProperties>
</file>