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33" w:after="0" w:afterAutospacing="0"/>
        <w:rPr>
          <w:rFonts w:ascii="Tinos" w:hAnsi="Tinos" w:cs="Tinos" w:eastAsia="Tinos"/>
          <w:b/>
          <w:sz w:val="28"/>
        </w:rPr>
      </w:pPr>
      <w:r>
        <w:rPr>
          <w:rFonts w:ascii="Tinos" w:hAnsi="Tinos" w:cs="Tinos" w:eastAsia="Tinos"/>
          <w:b/>
          <w:sz w:val="28"/>
        </w:rPr>
        <w:t xml:space="preserve">Информация о принятых  решениях и мерах</w:t>
      </w:r>
      <w:r/>
    </w:p>
    <w:p>
      <w:pPr>
        <w:jc w:val="center"/>
        <w:spacing w:lineRule="auto" w:line="233" w:after="0" w:afterAutospacing="0"/>
        <w:rPr>
          <w:rFonts w:ascii="Tinos" w:hAnsi="Tinos" w:cs="Tinos" w:eastAsia="Tinos"/>
          <w:b/>
          <w:sz w:val="28"/>
        </w:rPr>
      </w:pPr>
      <w:r>
        <w:rPr>
          <w:rFonts w:ascii="Tinos" w:hAnsi="Tinos" w:cs="Tinos" w:eastAsia="Tinos"/>
          <w:b/>
          <w:sz w:val="28"/>
        </w:rPr>
        <w:t xml:space="preserve">по результатам </w:t>
      </w:r>
      <w:r>
        <w:rPr>
          <w:rFonts w:ascii="Tinos" w:hAnsi="Tinos" w:cs="Tinos" w:eastAsia="Tinos"/>
          <w:b/>
          <w:sz w:val="28"/>
        </w:rPr>
        <w:t xml:space="preserve">проведенного </w:t>
      </w:r>
      <w:r/>
    </w:p>
    <w:p>
      <w:pPr>
        <w:jc w:val="center"/>
        <w:spacing w:lineRule="auto" w:line="233" w:after="0" w:afterAutospacing="0"/>
        <w:rPr>
          <w:rFonts w:ascii="Tinos" w:hAnsi="Tinos" w:cs="Tinos" w:eastAsia="Tinos"/>
          <w:b/>
          <w:sz w:val="28"/>
        </w:rPr>
      </w:pPr>
      <w:r>
        <w:rPr>
          <w:rFonts w:ascii="Tinos" w:hAnsi="Tinos" w:cs="Tinos" w:eastAsia="Tinos"/>
          <w:b/>
          <w:sz w:val="28"/>
        </w:rPr>
        <w:t xml:space="preserve"> </w:t>
      </w:r>
      <w:r>
        <w:rPr>
          <w:rFonts w:ascii="Tinos" w:hAnsi="Tinos" w:cs="Tinos" w:eastAsia="Tinos"/>
          <w:b/>
          <w:sz w:val="28"/>
        </w:rPr>
        <w:t xml:space="preserve">Контрольно-счетной комиссией Ровеньского района </w:t>
      </w:r>
      <w:r/>
    </w:p>
    <w:p>
      <w:pPr>
        <w:jc w:val="center"/>
        <w:spacing w:lineRule="auto" w:line="233" w:after="0" w:afterAutospacing="0"/>
        <w:rPr>
          <w:rFonts w:ascii="Tinos" w:hAnsi="Tinos" w:cs="Tinos" w:eastAsia="Tinos"/>
          <w:b/>
          <w:sz w:val="28"/>
        </w:rPr>
      </w:pPr>
      <w:r>
        <w:rPr>
          <w:rFonts w:ascii="Tinos" w:hAnsi="Tinos" w:cs="Tinos" w:eastAsia="Tinos"/>
          <w:b/>
          <w:sz w:val="28"/>
        </w:rPr>
        <w:t xml:space="preserve">в 2023 году  </w:t>
      </w:r>
      <w:r>
        <w:rPr>
          <w:rFonts w:ascii="Tinos" w:hAnsi="Tinos" w:cs="Tinos" w:eastAsia="Tinos"/>
          <w:b/>
          <w:sz w:val="28"/>
        </w:rPr>
        <w:t xml:space="preserve">контрольного мероприятия</w:t>
      </w:r>
      <w:r>
        <w:rPr>
          <w:rFonts w:ascii="Tinos" w:hAnsi="Tinos" w:cs="Tinos" w:eastAsia="Tinos"/>
          <w:b/>
          <w:sz w:val="28"/>
        </w:rPr>
      </w:r>
      <w:r/>
    </w:p>
    <w:p>
      <w:pPr>
        <w:spacing w:lineRule="auto" w:line="233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33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  <w:t xml:space="preserve">     По итогам реализации представления от 02.10.2023 года № 5, внесенного по результатам контрольного мероприятия «проверка средств, выделенных на финансовое обеспечение муниципального задания на оказание муниципальных услуг   в МБОУ «</w:t>
      </w:r>
      <w:r>
        <w:rPr>
          <w:rFonts w:ascii="Tinos" w:hAnsi="Tinos" w:cs="Tinos" w:eastAsia="Tinos"/>
          <w:sz w:val="28"/>
          <w:szCs w:val="28"/>
        </w:rPr>
        <w:t xml:space="preserve">Калиниченковская начальная  общеобразовательная школа Ровеньского района Белгородской области»</w:t>
      </w:r>
      <w:r>
        <w:rPr>
          <w:rFonts w:ascii="Tinos" w:hAnsi="Tinos" w:cs="Tinos" w:eastAsia="Tinos"/>
          <w:sz w:val="28"/>
        </w:rPr>
        <w:t xml:space="preserve">  в  2022 году и первом  полугодии  2023 года»  были приняты следующие меры: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33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/>
          <w:sz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требования  оформляются  первичные документы по учету труда;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33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  <w:t xml:space="preserve">-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оформляются «Оценочные листы» педагогическим  работникам и обслуживающему персоналу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в соответствии с 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Положением  о распределении стимулирующей части фонда оплаты труда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-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устранены нарушения по  учету объектов основных средств и нематериальных активов;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highlight w:val="none"/>
        </w:rPr>
        <w:t xml:space="preserve">-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</w:rPr>
      </w:r>
      <w:r>
        <w:rPr>
          <w:rFonts w:ascii="Times New Roman" w:hAnsi="Times New Roman" w:cs="Times New Roman" w:eastAsiaTheme="minorHAnsi"/>
          <w:sz w:val="28"/>
          <w:szCs w:val="28"/>
          <w:highlight w:val="none"/>
        </w:rPr>
        <w:t xml:space="preserve">заказчиком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</w:rPr>
        <w:t xml:space="preserve"> осуществляется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</w:rPr>
        <w:t xml:space="preserve">   своевременная оплата предоставленных услуг.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</w:rPr>
      </w:r>
      <w:r>
        <w:rPr>
          <w:rFonts w:eastAsiaTheme="minorHAnsi"/>
        </w:rPr>
      </w:r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highlight w:val="none"/>
        </w:rPr>
        <w:t xml:space="preserve">  Управлением образования администрации Ровеньского района  в целях недопущения повторения нарушений проведена беседа с работниками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МКУ «Центр сопровождения развития образования» и руководителем учреждения,  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сполнителям , допустившим нарушения, объявлены устные замечания.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33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 w:eastAsiaTheme="minorHAnsi"/>
          <w:sz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33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 w:eastAsiaTheme="minorHAnsi"/>
          <w:sz w:val="28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33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 w:eastAsiaTheme="minorHAnsi"/>
          <w:sz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inos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2023-11-07T12:31:30Z</dcterms:modified>
</cp:coreProperties>
</file>