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Информация </w:t>
      </w:r>
      <w:r>
        <w:rPr>
          <w:rFonts w:ascii="Tinos" w:hAnsi="Tinos" w:cs="Tinos" w:eastAsia="Tinos"/>
          <w:b/>
          <w:sz w:val="28"/>
        </w:rPr>
      </w:r>
      <w:r/>
    </w:p>
    <w:p>
      <w:pPr>
        <w:jc w:val="center"/>
        <w:spacing w:lineRule="auto" w:line="240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по результатам проведения  контрольного  мероприятия </w:t>
      </w:r>
      <w:r>
        <w:rPr>
          <w:rFonts w:ascii="Tinos" w:hAnsi="Tinos" w:cs="Tinos" w:eastAsia="Tinos"/>
          <w:b/>
          <w:sz w:val="28"/>
        </w:rPr>
      </w:r>
      <w:r/>
    </w:p>
    <w:p>
      <w:pPr>
        <w:jc w:val="center"/>
        <w:spacing w:lineRule="auto" w:line="240" w:after="0" w:afterAutospacing="0"/>
        <w:rPr>
          <w:rFonts w:ascii="Tinos" w:hAnsi="Tinos" w:cs="Tinos" w:eastAsia="Tinos"/>
          <w:b/>
          <w:sz w:val="24"/>
        </w:rPr>
      </w:pPr>
      <w:r>
        <w:rPr>
          <w:rFonts w:ascii="Tinos" w:hAnsi="Tinos" w:cs="Tinos" w:eastAsia="Tinos"/>
          <w:b/>
          <w:sz w:val="24"/>
        </w:rPr>
      </w:r>
      <w:r>
        <w:rPr>
          <w:rFonts w:ascii="Tinos" w:hAnsi="Tinos" w:cs="Tinos" w:eastAsia="Tinos"/>
          <w:b/>
          <w:sz w:val="24"/>
        </w:rPr>
      </w:r>
      <w:r/>
    </w:p>
    <w:p>
      <w:pPr>
        <w:jc w:val="center"/>
        <w:spacing w:lineRule="auto" w:line="240" w:after="0" w:afterAutospacing="0"/>
        <w:rPr>
          <w:rFonts w:ascii="Tinos" w:hAnsi="Tinos" w:cs="Tinos" w:eastAsia="Tinos"/>
          <w:sz w:val="24"/>
        </w:rPr>
      </w:pPr>
      <w:r>
        <w:rPr>
          <w:rFonts w:ascii="Tinos" w:hAnsi="Tinos" w:cs="Tinos" w:eastAsia="Tinos"/>
          <w:sz w:val="24"/>
        </w:rPr>
      </w:r>
      <w:r>
        <w:rPr>
          <w:rFonts w:ascii="Tinos" w:hAnsi="Tinos" w:cs="Tinos" w:eastAsia="Tinos"/>
          <w:sz w:val="24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b w:val="false"/>
          <w:sz w:val="28"/>
        </w:rPr>
      </w:pPr>
      <w:r>
        <w:rPr>
          <w:rFonts w:ascii="Tinos" w:hAnsi="Tinos" w:cs="Tinos" w:eastAsia="Tinos"/>
          <w:sz w:val="24"/>
        </w:rPr>
        <w:t xml:space="preserve">     </w:t>
      </w:r>
      <w:r>
        <w:rPr>
          <w:rFonts w:ascii="Tinos" w:hAnsi="Tinos" w:cs="Tinos" w:eastAsia="Tinos"/>
          <w:sz w:val="28"/>
        </w:rPr>
        <w:t xml:space="preserve">  </w:t>
      </w:r>
      <w:r>
        <w:rPr>
          <w:rFonts w:ascii="Tinos" w:hAnsi="Tinos" w:cs="Tinos" w:eastAsia="Tinos"/>
          <w:sz w:val="28"/>
        </w:rPr>
        <w:t xml:space="preserve">Контрольно-счетной  комиссией  Ровеньского  района в соответствии с планом  работы  на  2022  год,  проведена проверка «</w:t>
      </w:r>
      <w:r>
        <w:rPr>
          <w:rFonts w:ascii="Tinos" w:hAnsi="Tinos" w:cs="Tinos" w:eastAsia="Tinos"/>
          <w:sz w:val="28"/>
        </w:rPr>
        <w:t xml:space="preserve">Формирование современной городской среды на территории Ровеньского района»</w:t>
      </w:r>
      <w:r>
        <w:rPr>
          <w:rFonts w:ascii="Tinos" w:hAnsi="Tinos" w:cs="Tinos" w:eastAsia="Tinos"/>
          <w:b w:val="false"/>
          <w:sz w:val="28"/>
          <w:szCs w:val="28"/>
        </w:rPr>
        <w:t xml:space="preserve">  в  Управлении  капитального строительства, транспорта, ЖКХ и топливно- энергетического комплекса администрации муниципального района «</w:t>
      </w:r>
      <w:r>
        <w:rPr>
          <w:rFonts w:ascii="Tinos" w:hAnsi="Tinos" w:cs="Tinos" w:eastAsia="Tinos"/>
          <w:b w:val="false"/>
          <w:sz w:val="28"/>
          <w:szCs w:val="28"/>
        </w:rPr>
        <w:t xml:space="preserve">Ровеньский район»</w:t>
      </w:r>
      <w:r>
        <w:rPr>
          <w:rFonts w:ascii="Tinos" w:hAnsi="Tinos" w:cs="Tinos" w:eastAsia="Tinos"/>
          <w:b w:val="false"/>
          <w:sz w:val="28"/>
        </w:rPr>
        <w:t xml:space="preserve"> </w:t>
      </w:r>
      <w:r>
        <w:rPr>
          <w:rFonts w:ascii="Tinos" w:hAnsi="Tinos" w:cs="Tinos" w:eastAsia="Tinos"/>
          <w:b w:val="false"/>
          <w:sz w:val="28"/>
        </w:rPr>
        <w:t xml:space="preserve">.</w:t>
      </w:r>
      <w:r>
        <w:rPr>
          <w:b w:val="false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szCs w:val="27"/>
        </w:rPr>
      </w:pP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highlight w:val="white"/>
        </w:rPr>
        <w:t xml:space="preserve">В рамках реализации муниципальной программы </w:t>
      </w:r>
      <w:r>
        <w:rPr>
          <w:rFonts w:ascii="Tinos" w:hAnsi="Tinos" w:cs="Tinos" w:eastAsia="Tinos"/>
          <w:sz w:val="28"/>
          <w:highlight w:val="white"/>
        </w:rPr>
        <w:t xml:space="preserve">«</w:t>
      </w:r>
      <w:r>
        <w:rPr>
          <w:rFonts w:ascii="Tinos" w:hAnsi="Tinos" w:cs="Tinos" w:eastAsia="Tinos"/>
          <w:sz w:val="28"/>
        </w:rPr>
        <w:t xml:space="preserve">Формирование современной городской среды на территории Ровеньского района», утвержденной постановлением администрации Ровеньского района от 09.11.2017 года №429   (с </w:t>
      </w:r>
      <w:r>
        <w:rPr>
          <w:rFonts w:ascii="Tinos" w:hAnsi="Tinos" w:cs="Tinos" w:eastAsia="Tinos"/>
          <w:sz w:val="28"/>
        </w:rPr>
        <w:t xml:space="preserve"> внесенными изменениями  от  08.06.2022 года №306)  на  2022 год  </w:t>
      </w:r>
      <w:r>
        <w:rPr>
          <w:rFonts w:ascii="Tinos" w:hAnsi="Tinos" w:cs="Tinos" w:eastAsia="Tinos"/>
          <w:sz w:val="28"/>
          <w:szCs w:val="27"/>
        </w:rPr>
        <w:t xml:space="preserve">предусмотрены средства  в сумме   10000,0тыс.рублей</w:t>
      </w:r>
      <w:r>
        <w:rPr>
          <w:rFonts w:ascii="Tinos" w:hAnsi="Tinos" w:cs="Tinos" w:eastAsia="Tinos"/>
          <w:sz w:val="28"/>
          <w:szCs w:val="27"/>
        </w:rPr>
        <w:t xml:space="preserve">  </w:t>
      </w:r>
      <w:r>
        <w:rPr>
          <w:rFonts w:ascii="Tinos" w:hAnsi="Tinos" w:cs="Tinos" w:eastAsia="Tinos"/>
          <w:sz w:val="28"/>
          <w:szCs w:val="27"/>
        </w:rPr>
        <w:t xml:space="preserve">(областные средства)</w:t>
      </w:r>
      <w:r>
        <w:rPr>
          <w:rFonts w:ascii="Tinos" w:hAnsi="Tinos" w:cs="Tinos" w:eastAsia="Tinos"/>
          <w:sz w:val="28"/>
          <w:szCs w:val="27"/>
        </w:rPr>
        <w:t xml:space="preserve">.</w:t>
      </w:r>
      <w:r>
        <w:rPr>
          <w:rFonts w:ascii="Tinos" w:hAnsi="Tinos" w:cs="Tinos" w:eastAsia="Tinos"/>
          <w:sz w:val="28"/>
        </w:rPr>
        <w:t xml:space="preserve">В а</w:t>
      </w:r>
      <w:r>
        <w:rPr>
          <w:rFonts w:ascii="Tinos" w:hAnsi="Tinos" w:cs="Tinos" w:eastAsia="Tinos"/>
          <w:sz w:val="28"/>
          <w:szCs w:val="27"/>
        </w:rPr>
        <w:t xml:space="preserve">дресный</w:t>
      </w:r>
      <w:r>
        <w:rPr>
          <w:rFonts w:ascii="Tinos" w:hAnsi="Tinos" w:cs="Tinos" w:eastAsia="Tinos"/>
          <w:sz w:val="28"/>
        </w:rPr>
        <w:t xml:space="preserve"> перечень благоустройства общественных  территорий общего пользования </w:t>
      </w:r>
      <w:r>
        <w:rPr>
          <w:rFonts w:ascii="Tinos" w:hAnsi="Tinos" w:cs="Tinos" w:eastAsia="Tinos"/>
          <w:sz w:val="28"/>
          <w:szCs w:val="27"/>
        </w:rPr>
        <w:t xml:space="preserve">  на 2022 год включены : </w:t>
      </w:r>
      <w:r>
        <w:rPr>
          <w:rFonts w:ascii="Tinos" w:hAnsi="Tinos" w:cs="Tinos" w:eastAsia="Tinos"/>
          <w:sz w:val="28"/>
        </w:rPr>
        <w:t xml:space="preserve">п.Ровеньки   ул.Айдарская  и  ул.М.Горького.</w:t>
      </w:r>
      <w:r>
        <w:rPr>
          <w:rFonts w:ascii="Tinos" w:hAnsi="Tinos" w:cs="Tinos" w:eastAsia="Tinos"/>
          <w:sz w:val="28"/>
          <w:szCs w:val="27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  <w:t xml:space="preserve">В местном бюджете Ровеньского района на 2022 год 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</w:rPr>
        <w:t xml:space="preserve">на реализацию мероприятий по благоустройству общественных территорий муниципальных районов и городских округов  Белгородской области  предусмотрены ассигнования в сумме  </w:t>
      </w:r>
      <w:r>
        <w:rPr>
          <w:rFonts w:ascii="Tinos" w:hAnsi="Tinos" w:cs="Tinos" w:eastAsia="Tinos"/>
          <w:sz w:val="28"/>
        </w:rPr>
        <w:t xml:space="preserve">10 000 тыс. рублей</w:t>
      </w:r>
      <w:r>
        <w:rPr>
          <w:rFonts w:ascii="Tinos" w:hAnsi="Tinos" w:cs="Tinos" w:eastAsia="Tinos"/>
          <w:sz w:val="28"/>
        </w:rPr>
        <w:t xml:space="preserve">.</w:t>
      </w:r>
      <w:r>
        <w:rPr>
          <w:rFonts w:ascii="Tinos" w:hAnsi="Tinos" w:cs="Tinos" w:eastAsia="Tinos"/>
          <w:sz w:val="28"/>
        </w:rPr>
        <w:t xml:space="preserve"> 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28" w:after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7"/>
        </w:rPr>
        <w:t xml:space="preserve">Согласно  отчета об исполнении бюджета главного распорядителя  </w:t>
      </w:r>
      <w:r>
        <w:rPr>
          <w:rFonts w:ascii="Tinos" w:hAnsi="Tinos" w:cs="Tinos" w:eastAsia="Tinos"/>
          <w:sz w:val="28"/>
          <w:szCs w:val="27"/>
        </w:rPr>
        <w:t xml:space="preserve">(</w:t>
      </w:r>
      <w:r>
        <w:rPr>
          <w:rFonts w:ascii="Tinos" w:hAnsi="Tinos" w:cs="Tinos" w:eastAsia="Tinos"/>
          <w:sz w:val="28"/>
          <w:szCs w:val="27"/>
        </w:rPr>
        <w:t xml:space="preserve">Ф.0503127</w:t>
      </w:r>
      <w:r>
        <w:rPr>
          <w:rFonts w:ascii="Tinos" w:hAnsi="Tinos" w:cs="Tinos" w:eastAsia="Tinos"/>
          <w:sz w:val="28"/>
          <w:szCs w:val="27"/>
        </w:rPr>
        <w:t xml:space="preserve">)</w:t>
      </w:r>
      <w:r>
        <w:rPr>
          <w:rFonts w:ascii="Tinos" w:hAnsi="Tinos" w:cs="Tinos" w:eastAsia="Tinos"/>
          <w:sz w:val="28"/>
          <w:szCs w:val="27"/>
        </w:rPr>
        <w:t xml:space="preserve"> УКС администрации Ровеньского района на 01.10.2022 года  расходы на </w:t>
      </w:r>
      <w:r>
        <w:rPr>
          <w:rFonts w:ascii="Tinos" w:hAnsi="Tinos" w:cs="Tinos" w:eastAsia="Tinos"/>
          <w:sz w:val="28"/>
          <w:szCs w:val="27"/>
        </w:rPr>
        <w:t xml:space="preserve">исполнение муниципальной программы составили</w:t>
      </w:r>
      <w:r>
        <w:rPr>
          <w:rFonts w:ascii="Tinos" w:hAnsi="Tinos" w:cs="Tinos" w:eastAsia="Tinos"/>
          <w:sz w:val="28"/>
          <w:szCs w:val="27"/>
        </w:rPr>
        <w:t xml:space="preserve">   </w:t>
      </w:r>
      <w:r>
        <w:rPr>
          <w:rFonts w:ascii="Tinos" w:hAnsi="Tinos" w:cs="Tinos" w:eastAsia="Tinos"/>
          <w:sz w:val="28"/>
          <w:szCs w:val="27"/>
        </w:rPr>
        <w:t xml:space="preserve"> 10000,0тыс.рублей или  100%.</w:t>
      </w:r>
      <w:r>
        <w:rPr>
          <w:rFonts w:ascii="Tinos" w:hAnsi="Tinos" w:cs="Tinos" w:eastAsia="Tinos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В соответствии с заключенными контрактами работы по </w:t>
      </w:r>
      <w:r>
        <w:rPr>
          <w:rFonts w:ascii="Tinos" w:hAnsi="Tinos" w:cs="Tinos" w:eastAsia="Tinos"/>
          <w:sz w:val="28"/>
        </w:rPr>
        <w:t xml:space="preserve"> объектам благоустройства общественной территории</w:t>
      </w:r>
      <w:r>
        <w:rPr>
          <w:rFonts w:ascii="Tinos" w:hAnsi="Tinos" w:cs="Tinos" w:eastAsia="Tinos"/>
          <w:sz w:val="28"/>
        </w:rPr>
        <w:t xml:space="preserve"> в </w:t>
      </w:r>
      <w:r>
        <w:rPr>
          <w:rFonts w:ascii="Tinos" w:hAnsi="Tinos" w:cs="Tinos" w:eastAsia="Tinos"/>
          <w:sz w:val="28"/>
        </w:rPr>
        <w:t xml:space="preserve">муниципальном районе «</w:t>
      </w:r>
      <w:r>
        <w:rPr>
          <w:rFonts w:ascii="Tinos" w:hAnsi="Tinos" w:cs="Tinos" w:eastAsia="Tinos"/>
          <w:sz w:val="28"/>
        </w:rPr>
        <w:t xml:space="preserve">Ровеньский район» выполнены в полном объеме и в установленные сроки.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  <w:t xml:space="preserve">  И</w:t>
      </w:r>
      <w:r>
        <w:rPr>
          <w:rFonts w:ascii="Tinos" w:hAnsi="Tinos" w:cs="Tinos" w:eastAsia="Tinos"/>
          <w:sz w:val="28"/>
        </w:rPr>
        <w:t xml:space="preserve">мущество по объектам благоустройства </w:t>
      </w:r>
      <w:r>
        <w:rPr>
          <w:rFonts w:ascii="Tinos" w:hAnsi="Tinos" w:cs="Tinos" w:eastAsia="Tinos"/>
          <w:sz w:val="28"/>
        </w:rPr>
        <w:t xml:space="preserve"> по ул.Айдарск</w:t>
      </w:r>
      <w:r>
        <w:rPr>
          <w:rFonts w:ascii="Tinos" w:hAnsi="Tinos" w:cs="Tinos" w:eastAsia="Tinos"/>
          <w:sz w:val="28"/>
        </w:rPr>
        <w:t xml:space="preserve">а</w:t>
      </w:r>
      <w:r>
        <w:rPr>
          <w:rFonts w:ascii="Tinos" w:hAnsi="Tinos" w:cs="Tinos" w:eastAsia="Tinos"/>
          <w:sz w:val="28"/>
        </w:rPr>
        <w:t xml:space="preserve">я и ул.М.Горького, передано в безвозмездную  собственность </w:t>
      </w:r>
      <w:r>
        <w:rPr>
          <w:rFonts w:ascii="Tinos" w:hAnsi="Tinos" w:cs="Tinos" w:eastAsia="Tinos"/>
          <w:sz w:val="28"/>
        </w:rPr>
        <w:t xml:space="preserve"> городского поселения «Поселок Ровеньки».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42" w:after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szCs w:val="27"/>
        </w:rPr>
        <w:t xml:space="preserve">  В ходе проверки осуществлена  сверка   объемов принятых   работ    по  </w:t>
      </w:r>
      <w:r>
        <w:rPr>
          <w:rFonts w:ascii="Tinos" w:hAnsi="Tinos" w:cs="Tinos" w:eastAsia="Tinos"/>
          <w:sz w:val="28"/>
        </w:rPr>
        <w:t xml:space="preserve">благоустройству общественной территории  в муниципальном районе «Ровеньский район» </w:t>
      </w:r>
      <w:r>
        <w:rPr>
          <w:rFonts w:ascii="Tinos" w:hAnsi="Tinos" w:cs="Tinos" w:eastAsia="Tinos"/>
          <w:sz w:val="28"/>
        </w:rPr>
        <w:t xml:space="preserve"> п.Ровеньки </w:t>
      </w:r>
      <w:r>
        <w:rPr>
          <w:rFonts w:ascii="Tinos" w:hAnsi="Tinos" w:cs="Tinos" w:eastAsia="Tinos"/>
          <w:sz w:val="28"/>
        </w:rPr>
        <w:t xml:space="preserve"> ул.М.Горького  </w:t>
      </w:r>
      <w:r>
        <w:rPr>
          <w:rFonts w:ascii="Tinos" w:hAnsi="Tinos" w:cs="Tinos" w:eastAsia="Tinos"/>
          <w:sz w:val="28"/>
          <w:szCs w:val="27"/>
        </w:rPr>
        <w:t xml:space="preserve">, </w:t>
      </w:r>
      <w:r>
        <w:rPr>
          <w:rFonts w:ascii="Tinos" w:hAnsi="Tinos" w:cs="Tinos" w:eastAsia="Tinos"/>
          <w:sz w:val="28"/>
          <w:szCs w:val="27"/>
        </w:rPr>
        <w:t xml:space="preserve">ул.Айдарская, расхождений не установлено.</w:t>
      </w:r>
      <w:r>
        <w:rPr>
          <w:rFonts w:ascii="Tinos" w:hAnsi="Tinos" w:cs="Tinos" w:eastAsia="Tinos"/>
          <w:b w:val="false"/>
          <w:sz w:val="28"/>
        </w:rPr>
        <w:t xml:space="preserve"> Установленное  спортивное оборудование  соответствует условиям технического задания  .</w:t>
      </w:r>
      <w:r>
        <w:rPr>
          <w:rFonts w:ascii="Tinos" w:hAnsi="Tinos" w:cs="Tinos" w:eastAsia="Tinos"/>
          <w:sz w:val="28"/>
        </w:rPr>
      </w:r>
      <w:r/>
    </w:p>
    <w:p>
      <w:pPr>
        <w:contextualSpacing w:val="false"/>
        <w:ind w:left="0" w:firstLine="0"/>
        <w:jc w:val="both"/>
        <w:spacing w:lineRule="auto" w:line="235" w:after="0" w:afterAutospacing="0" w:before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b w:val="false"/>
          <w:sz w:val="28"/>
          <w:highlight w:val="none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0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nos">
    <w:panose1 w:val="020206030504050203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2022-12-29T13:53:00Z</dcterms:modified>
</cp:coreProperties>
</file>