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Ровеньского района  в  соответствии с планом работы на 2022 год, проведена проверка  средств, выделенных на финансовое обеспечение муниципального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задания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на  оказание муници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пальных  услуг в </w:t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МБОУ «</w:t>
      </w:r>
      <w:r>
        <w:rPr>
          <w:rFonts w:ascii="Tinos" w:hAnsi="Tinos" w:cs="Tinos" w:eastAsia="Tinos"/>
          <w:b w:val="false"/>
          <w:sz w:val="28"/>
          <w:szCs w:val="28"/>
        </w:rPr>
        <w:t xml:space="preserve">Пристеньская  основная общеобразовательная</w:t>
      </w:r>
      <w:r>
        <w:rPr>
          <w:rFonts w:ascii="Tinos" w:hAnsi="Tinos" w:cs="Tinos" w:eastAsia="Tinos"/>
          <w:b w:val="false"/>
          <w:sz w:val="28"/>
          <w:szCs w:val="28"/>
        </w:rPr>
        <w:t xml:space="preserve"> школа  Ровеньского района Белгородской области» в 2021 году</w:t>
      </w:r>
      <w:r>
        <w:rPr>
          <w:rFonts w:ascii="Tinos" w:hAnsi="Tinos" w:cs="Tinos" w:eastAsia="Tinos"/>
          <w:b w:val="false"/>
          <w:sz w:val="28"/>
          <w:szCs w:val="28"/>
        </w:rPr>
        <w:t xml:space="preserve"> и первом  </w:t>
      </w:r>
      <w:r>
        <w:rPr>
          <w:rFonts w:ascii="Tinos" w:hAnsi="Tinos" w:cs="Tinos" w:eastAsia="Tinos"/>
          <w:b w:val="false"/>
          <w:sz w:val="28"/>
          <w:szCs w:val="28"/>
        </w:rPr>
        <w:t xml:space="preserve">полугодии</w:t>
      </w:r>
      <w:r>
        <w:rPr>
          <w:rFonts w:ascii="Tinos" w:hAnsi="Tinos" w:cs="Tinos" w:eastAsia="Tinos"/>
          <w:b w:val="false"/>
          <w:sz w:val="28"/>
          <w:szCs w:val="28"/>
        </w:rPr>
        <w:t xml:space="preserve">  2022 года».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  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На выполнение муниципальн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ого задания  для  МБОУ «Пристеньская ООШ»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в 2021 году предост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авлена  субсидия в сумме 13032,38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тыс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.р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убле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й, израсходована в сумме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13748,15тыс.рублей,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дефицитом 715,77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тыс. рублей.</w:t>
      </w:r>
      <w:r>
        <w:rPr>
          <w:rFonts w:ascii="Tinos" w:hAnsi="Tinos" w:cs="Tinos" w:eastAsia="Tinos"/>
          <w:sz w:val="28"/>
          <w:highlight w:val="none"/>
        </w:rPr>
        <w:t xml:space="preserve"> Источник покрытия дефицита остаток средств субсидии на 01.01.2021 года в сумме   742,0тыс.рублей.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yellow"/>
        </w:rPr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В ходе проверки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отчет о выполнении муниципального задания за 2021 год составлен  не  по установленной форме, не подписан руководителем.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none"/>
        </w:rPr>
        <w:t xml:space="preserve">  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Приняты  к учету объекты недвижимого имущества  , права на которые подлежат  государственной регистрации,  на сумму 34,53 тыс.рублей.</w:t>
      </w:r>
      <w:r>
        <w:rPr>
          <w:rFonts w:ascii="Times New Roman" w:hAnsi="Times New Roman" w:cs="Times New Roman" w:eastAsiaTheme="minorHAnsi"/>
          <w:highlight w:val="yellow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  <w:highlight w:val="whit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Не оформлялись оценочные листы  обслуживающего персонала для установления размера стимулирующих выплат.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nos" w:hAnsi="Tinos" w:cs="Tinos" w:eastAsia="Tinos"/>
          <w:sz w:val="28"/>
          <w:highlight w:val="none"/>
        </w:rPr>
      </w:pPr>
      <w:r>
        <w:rPr>
          <w:rFonts w:ascii="Times New Roman" w:hAnsi="Times New Roman" w:cs="Times New Roman" w:eastAsiaTheme="minorHAnsi"/>
          <w:highlight w:val="yellow"/>
        </w:rPr>
      </w:r>
      <w:r>
        <w:rPr>
          <w:rFonts w:ascii="Tinos" w:hAnsi="Tinos" w:cs="Tinos" w:eastAsia="Tinos" w:eastAsiaTheme="minorHAnsi"/>
          <w:sz w:val="28"/>
          <w:highlight w:val="none"/>
        </w:rPr>
        <w:t xml:space="preserve">Не определены объем и содержание выполняемой работы,  работникам работающим по внутреннему совмещению в нарушение ст.60.2 Трудового кодекса РФ.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Не осуществлялась работа по взысканию задолженности родительской платы за присмотр и уход за детьми, на 01.07.2022года задолженность составила 31,32тыс.рублей, в том числе задолженность прошлых лет в сумме 10,28 тыс.рублей.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eastAsiaTheme="minorHAnsi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По результатам проведенного контрольного мероприятия были направлены: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- представ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ление директору 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МБОУ «Пристеньская ООШ»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-информационное письмо начальнику управления образования  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администрации Ровеньского района.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spacing w:lineRule="auto" w:line="240" w:after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nos" w:hAnsi="Tinos" w:cs="Tinos" w:eastAsia="Tinos" w:eastAsiaTheme="minorHAnsi"/>
          <w:sz w:val="28"/>
          <w:szCs w:val="28"/>
        </w:rPr>
        <w:t xml:space="preserve"> В соответствии с </w:t>
      </w:r>
      <w:r>
        <w:rPr>
          <w:rFonts w:ascii="Tinos" w:hAnsi="Tinos" w:cs="Tinos" w:eastAsia="Tinos" w:eastAsiaTheme="minorHAnsi"/>
          <w:sz w:val="28"/>
          <w:szCs w:val="28"/>
        </w:rPr>
        <w:t xml:space="preserve"> представленной </w:t>
      </w:r>
      <w:r>
        <w:rPr>
          <w:rFonts w:ascii="Tinos" w:hAnsi="Tinos" w:cs="Tinos" w:eastAsia="Tinos" w:eastAsiaTheme="minorHAnsi"/>
          <w:sz w:val="28"/>
          <w:szCs w:val="28"/>
        </w:rPr>
        <w:t xml:space="preserve"> информацией  </w:t>
      </w:r>
      <w:r>
        <w:rPr>
          <w:rFonts w:ascii="Tinos" w:hAnsi="Tinos" w:cs="Tinos" w:eastAsia="Tinos" w:eastAsiaTheme="minorHAnsi"/>
          <w:sz w:val="28"/>
          <w:szCs w:val="28"/>
          <w:highlight w:val="white"/>
        </w:rPr>
        <w:t xml:space="preserve">МБОУ «Пристеньская ООШ»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</w:t>
      </w:r>
      <w:r>
        <w:rPr>
          <w:rFonts w:eastAsiaTheme="minorHAnsi"/>
        </w:rPr>
      </w:r>
      <w:r>
        <w:rPr>
          <w:rFonts w:ascii="Tinos" w:hAnsi="Tinos" w:cs="Tinos" w:eastAsia="Tinos" w:eastAsiaTheme="minorHAnsi"/>
          <w:sz w:val="28"/>
          <w:szCs w:val="28"/>
        </w:rPr>
        <w:t xml:space="preserve">проведены мероприятия по устранению нарушений.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 дисциплинарной ответственности привлечен , заместитель директора.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2022-12-29T10:18:26Z</dcterms:modified>
</cp:coreProperties>
</file>