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26" w:after="0" w:afterAutospacing="0"/>
        <w:rPr>
          <w:rFonts w:ascii="Tinos" w:hAnsi="Tinos" w:cs="Tinos" w:eastAsia="Tinos"/>
          <w:highlight w:val="white"/>
        </w:rPr>
      </w:pP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Контрольно-счетной комиссией  Ровеньского района  в  соответствии с планом работы на 2023 год,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проведен  аудит в сфере закупок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в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МБ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ДОУ «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Ровеньский детский сад №1 комбинированного вида Белгородской области»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в 2022 году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и первом 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квартале  2023 года.</w:t>
      </w:r>
      <w:r>
        <w:rPr>
          <w:rFonts w:ascii="Tinos" w:hAnsi="Tinos" w:cs="Tinos" w:eastAsia="Tinos"/>
          <w:b w:val="false"/>
          <w:sz w:val="28"/>
          <w:highlight w:val="white"/>
        </w:rPr>
      </w:r>
      <w:r/>
    </w:p>
    <w:p>
      <w:pPr>
        <w:jc w:val="both"/>
        <w:spacing w:lineRule="auto" w:line="226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По результатам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аудита осуществления закупок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установленно  следующее</w:t>
      </w:r>
      <w:r>
        <w:rPr>
          <w:rFonts w:ascii="Tinos" w:hAnsi="Tinos" w:cs="Tinos" w:eastAsia="Tinos"/>
          <w:sz w:val="28"/>
          <w:szCs w:val="28"/>
        </w:rPr>
        <w:t xml:space="preserve">.</w:t>
      </w:r>
      <w:r/>
    </w:p>
    <w:p>
      <w:pPr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В соответствии со ст. 38 </w:t>
      </w:r>
      <w:r>
        <w:rPr>
          <w:rFonts w:ascii="Tinos" w:hAnsi="Tinos" w:cs="Tinos" w:eastAsia="Tinos"/>
          <w:b w:val="false"/>
          <w:color w:val="000000"/>
          <w:sz w:val="28"/>
          <w:szCs w:val="28"/>
        </w:rPr>
        <w:t xml:space="preserve">Федерального  Закона №44-ФЗ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назначен  контрактный  управляющий , имеющий высшее образование и  обучение по профессиональной программе «Контрактная система в сфере закупок товаров, работ, услуг».</w:t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jc w:val="both"/>
        <w:spacing w:lineRule="auto" w:line="226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Заключено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в 2022 году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 80 контрактов  на сумму 4798,20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 тыс.рублей,  в том числе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контракты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на 2023 год на сумму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 319,75 тыс.рублей.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За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первый квартал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2023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год 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19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контрактов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на сумму 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 3845,49  тыс.</w:t>
      </w:r>
      <w:r>
        <w:rPr>
          <w:rFonts w:ascii="Tinos" w:hAnsi="Tinos" w:cs="Tinos" w:eastAsia="Tinos"/>
          <w:sz w:val="28"/>
          <w:szCs w:val="28"/>
          <w:highlight w:val="white"/>
          <w:lang w:eastAsia="zh-CN"/>
        </w:rPr>
        <w:t xml:space="preserve">рублей.</w:t>
      </w:r>
      <w:r>
        <w:rPr>
          <w:rFonts w:ascii="Tinos" w:hAnsi="Tinos" w:cs="Tinos" w:eastAsia="Tinos"/>
          <w:sz w:val="28"/>
          <w:szCs w:val="28"/>
        </w:rPr>
      </w:r>
      <w:r/>
      <w:r>
        <w:rPr>
          <w:rFonts w:ascii="Times New Roman" w:hAnsi="Times New Roman" w:cs="Times New Roman" w:eastAsia="Calibri"/>
          <w:sz w:val="28"/>
          <w:szCs w:val="28"/>
          <w:highlight w:val="white"/>
        </w:rPr>
      </w:r>
      <w:r>
        <w:rPr>
          <w:rFonts w:ascii="Tinos" w:hAnsi="Tinos" w:cs="Tinos" w:eastAsia="Tinos"/>
          <w:sz w:val="28"/>
          <w:szCs w:val="28"/>
          <w:highlight w:val="none"/>
          <w:lang w:eastAsia="zh-CN"/>
        </w:rPr>
      </w:r>
      <w:r>
        <w:rPr>
          <w:rFonts w:ascii="Tinos" w:hAnsi="Tinos" w:cs="Tinos" w:eastAsia="Tinos"/>
          <w:sz w:val="28"/>
          <w:szCs w:val="28"/>
          <w:highlight w:val="none"/>
          <w:lang w:eastAsia="zh-CN"/>
        </w:rPr>
      </w:r>
    </w:p>
    <w:p>
      <w:pPr>
        <w:contextualSpacing w:val="true"/>
        <w:jc w:val="both"/>
        <w:spacing w:lineRule="auto" w:line="238" w:after="0" w:afterAutospacing="0"/>
        <w:rPr>
          <w:rFonts w:ascii="Tinos" w:hAnsi="Tinos" w:cs="Tinos" w:eastAsia="Tinos"/>
          <w:color w:val="000000"/>
        </w:rPr>
      </w:pPr>
      <w:r>
        <w:rPr>
          <w:rFonts w:ascii="Tinos" w:hAnsi="Tinos" w:cs="Tinos" w:eastAsia="Tinos"/>
          <w:color w:val="000000"/>
          <w:sz w:val="28"/>
        </w:rPr>
        <w:t xml:space="preserve">    Объем закупок, допустимый для заключения муниципальных контрактов и (или) договоров с единственным поставщиком (подрядчиком, исполнителем) не превышал ограничений годового объёма таких закупок, установленных п.4 (до двух миллионов рублей) и п.5 (д</w:t>
      </w:r>
      <w:r>
        <w:rPr>
          <w:rFonts w:ascii="Tinos" w:hAnsi="Tinos" w:cs="Tinos" w:eastAsia="Tinos"/>
          <w:color w:val="000000"/>
          <w:sz w:val="28"/>
        </w:rPr>
        <w:t xml:space="preserve">о пяти миллионов рублей) ч.1 ст.93 Федерального закона № 44-ФЗ :</w:t>
      </w:r>
      <w:r/>
      <w:r/>
    </w:p>
    <w:p>
      <w:pPr>
        <w:contextualSpacing w:val="true"/>
        <w:jc w:val="both"/>
        <w:spacing w:lineRule="auto" w:line="238" w:after="0" w:afterAutospacing="0"/>
        <w:rPr>
          <w:rFonts w:ascii="Tinos" w:hAnsi="Tinos" w:cs="Tinos" w:eastAsia="Tinos"/>
          <w:color w:val="000000"/>
        </w:rPr>
      </w:pPr>
      <w:r>
        <w:rPr>
          <w:rFonts w:ascii="Tinos" w:hAnsi="Tinos" w:cs="Tinos" w:eastAsia="Tinos"/>
          <w:color w:val="000000"/>
          <w:sz w:val="28"/>
        </w:rPr>
      </w:r>
      <w:r>
        <w:rPr>
          <w:rFonts w:ascii="Tinos" w:hAnsi="Tinos" w:cs="Tinos" w:eastAsia="Tinos"/>
          <w:color w:val="000000"/>
          <w:sz w:val="28"/>
        </w:rPr>
        <w:t xml:space="preserve">по п.4 (до двух миллионов)   осуществлен  на сумму  1320,26 тыс. рублей;</w:t>
      </w:r>
      <w:r>
        <w:rPr>
          <w:rFonts w:ascii="Tinos" w:hAnsi="Tinos" w:cs="Tinos" w:eastAsia="Tinos"/>
          <w:color w:val="000000"/>
          <w:sz w:val="28"/>
          <w:szCs w:val="28"/>
        </w:rPr>
      </w:r>
      <w:r/>
    </w:p>
    <w:p>
      <w:pPr>
        <w:contextualSpacing w:val="true"/>
        <w:jc w:val="both"/>
        <w:spacing w:lineRule="auto" w:line="238" w:after="0" w:afterAutospacing="0"/>
        <w:rPr>
          <w:rFonts w:ascii="Tinos" w:hAnsi="Tinos" w:cs="Tinos" w:eastAsia="Tinos"/>
          <w:highlight w:val="white"/>
        </w:rPr>
      </w:pPr>
      <w:r>
        <w:rPr>
          <w:rFonts w:ascii="Tinos" w:hAnsi="Tinos" w:cs="Tinos" w:eastAsia="Tinos"/>
          <w:color w:val="000000"/>
          <w:sz w:val="28"/>
        </w:rPr>
      </w:r>
      <w:r>
        <w:rPr>
          <w:rFonts w:ascii="Tinos" w:hAnsi="Tinos" w:cs="Tinos" w:eastAsia="Tinos"/>
          <w:color w:val="000000"/>
          <w:sz w:val="28"/>
        </w:rPr>
        <w:t xml:space="preserve">по п.5 (до пяти  миллионов)  на сумму   3362,45 тыс. рублей.</w:t>
      </w:r>
      <w:r>
        <w:rPr>
          <w:rFonts w:ascii="Tinos" w:hAnsi="Tinos" w:cs="Tinos" w:eastAsia="Tinos"/>
          <w:b w:val="false"/>
          <w:sz w:val="28"/>
          <w:szCs w:val="28"/>
          <w:highlight w:val="white"/>
          <w:u w:val="none"/>
        </w:rPr>
      </w:r>
      <w:r/>
    </w:p>
    <w:p>
      <w:pPr>
        <w:jc w:val="both"/>
        <w:spacing w:lineRule="auto" w:line="226" w:after="0"/>
        <w:rPr>
          <w:rFonts w:ascii="Tinos" w:hAnsi="Tinos" w:cs="Tinos" w:eastAsia="Tinos"/>
          <w:sz w:val="28"/>
          <w:highlight w:val="white"/>
        </w:rPr>
      </w:pPr>
      <w:r>
        <w:rPr>
          <w:rFonts w:ascii="Tinos" w:hAnsi="Tinos" w:cs="Tinos" w:eastAsia="Tinos"/>
          <w:sz w:val="28"/>
          <w:highlight w:val="none"/>
        </w:rPr>
        <w:t xml:space="preserve">   </w:t>
      </w:r>
      <w:r>
        <w:rPr>
          <w:rFonts w:ascii="Tinos" w:hAnsi="Tinos" w:cs="Tinos" w:eastAsia="Tinos"/>
          <w:sz w:val="28"/>
          <w:highlight w:val="white"/>
        </w:rPr>
      </w:r>
      <w:r>
        <w:rPr>
          <w:rFonts w:ascii="Tinos" w:hAnsi="Tinos" w:cs="Tinos" w:eastAsia="Tinos"/>
          <w:sz w:val="28"/>
          <w:highlight w:val="none"/>
        </w:rPr>
        <w:t xml:space="preserve">Все контракты заключены с единственным поставщиком , объем экономии составил ноль рублей.</w:t>
      </w:r>
      <w:r>
        <w:rPr>
          <w:rFonts w:ascii="Tinos" w:hAnsi="Tinos" w:cs="Tinos" w:eastAsia="Tinos"/>
          <w:sz w:val="28"/>
          <w:highlight w:val="white"/>
        </w:rPr>
      </w: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  <w:highlight w:val="white"/>
        </w:rPr>
      </w:r>
    </w:p>
    <w:p>
      <w:pPr>
        <w:contextualSpacing w:val="true"/>
        <w:jc w:val="both"/>
        <w:spacing w:lineRule="auto" w:line="238" w:after="0" w:afterAutospacing="0"/>
        <w:rPr>
          <w:rFonts w:ascii="Times New Roman" w:hAnsi="Times New Roman" w:cs="Times New Roman" w:eastAsia="Calibri"/>
          <w:sz w:val="28"/>
          <w:highlight w:val="green"/>
        </w:rPr>
      </w:pPr>
      <w:r>
        <w:rPr>
          <w:rFonts w:ascii="Tinos" w:hAnsi="Tinos" w:cs="Tinos" w:eastAsia="Calibri"/>
          <w:b w:val="false"/>
          <w:sz w:val="28"/>
          <w:szCs w:val="28"/>
          <w:highlight w:val="white"/>
          <w:u w:val="none"/>
        </w:rPr>
        <w:t xml:space="preserve"> </w:t>
      </w:r>
      <w:r>
        <w:rPr>
          <w:rFonts w:ascii="Tinos" w:hAnsi="Tinos" w:cs="Tinos" w:eastAsia="Calibri"/>
          <w:b w:val="false"/>
          <w:sz w:val="28"/>
          <w:szCs w:val="28"/>
          <w:u w:val="none"/>
        </w:rPr>
        <w:t xml:space="preserve">  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тчет  об  объеме закупок у субъектов малого предпринимательства, социально ориентированных некоммерческих организаций за 2022 год  своевременно размещ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ен </w:t>
      </w:r>
      <w:r>
        <w:rPr>
          <w:rStyle w:val="1_727"/>
          <w:rFonts w:ascii="Times New Roman" w:hAnsi="Times New Roman" w:cs="Times New Roman" w:eastAsia="Calibri"/>
          <w:sz w:val="28"/>
          <w:szCs w:val="28"/>
          <w:highlight w:val="white"/>
        </w:rPr>
        <w:t xml:space="preserve">в единой информационной системе</w:t>
      </w:r>
      <w:r>
        <w:rPr>
          <w:rStyle w:val="1_727"/>
          <w:rFonts w:ascii="Times New Roman" w:hAnsi="Times New Roman" w:cs="Times New Roman" w:eastAsia="Calibri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объем закупок у субъектов малого предпринимательства составил  25% .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green"/>
        </w:rPr>
        <w:t xml:space="preserve">  </w:t>
      </w:r>
      <w:r/>
    </w:p>
    <w:p>
      <w:pPr>
        <w:contextualSpacing w:val="true"/>
        <w:jc w:val="both"/>
        <w:spacing w:lineRule="auto" w:line="238" w:after="0" w:afterAutospacing="0"/>
        <w:rPr>
          <w:rFonts w:ascii="Tinos" w:hAnsi="Tinos" w:cs="Tinos" w:eastAsia="Tinos"/>
          <w:sz w:val="28"/>
          <w:szCs w:val="28"/>
          <w:highlight w:val="green"/>
        </w:rPr>
      </w:pPr>
      <w:r>
        <w:rPr>
          <w:rFonts w:ascii="Tinos" w:hAnsi="Tinos" w:cs="Tinos" w:eastAsia="Tinos"/>
          <w:sz w:val="28"/>
          <w:szCs w:val="28"/>
          <w:highlight w:val="green"/>
        </w:rPr>
      </w:r>
      <w:r>
        <w:rPr>
          <w:rFonts w:ascii="Tinos" w:hAnsi="Tinos" w:cs="Tinos" w:eastAsia="Tinos"/>
          <w:b w:val="false"/>
          <w:color w:val="000000"/>
          <w:sz w:val="28"/>
          <w:szCs w:val="28"/>
        </w:rPr>
        <w:t xml:space="preserve">В </w:t>
      </w:r>
      <w:r>
        <w:rPr>
          <w:rFonts w:ascii="Tinos" w:hAnsi="Tinos" w:cs="Tinos" w:eastAsia="Tinos"/>
          <w:b w:val="false"/>
          <w:color w:val="000000"/>
          <w:sz w:val="28"/>
          <w:szCs w:val="28"/>
        </w:rPr>
        <w:t xml:space="preserve">нарушение требований ч.3 ст.103 Федерального  Закона №44-ФЗ  осуществлялось несвоевременное направление  информации о заключении контракта  в Реестр контрактов</w:t>
      </w:r>
      <w:r>
        <w:rPr>
          <w:rFonts w:ascii="Tinos" w:hAnsi="Tinos" w:cs="Tinos" w:eastAsia="Tinos"/>
          <w:b w:val="false"/>
          <w:color w:val="000000"/>
          <w:sz w:val="28"/>
        </w:rPr>
        <w:t xml:space="preserve"> (по 2 контрактам).</w:t>
      </w:r>
      <w:r>
        <w:rPr>
          <w:rFonts w:ascii="Tinos" w:hAnsi="Tinos" w:cs="Tinos" w:eastAsia="Tinos"/>
          <w:sz w:val="28"/>
        </w:rPr>
      </w:r>
    </w:p>
    <w:p>
      <w:pPr>
        <w:jc w:val="both"/>
        <w:spacing w:lineRule="auto" w:line="226" w:after="0"/>
        <w:rPr>
          <w:rFonts w:ascii="Tinos" w:hAnsi="Tinos" w:cs="Tinos" w:eastAsia="Tinos"/>
          <w:sz w:val="28"/>
          <w:highlight w:val="white"/>
        </w:rPr>
      </w:pPr>
      <w:r>
        <w:rPr>
          <w:rFonts w:ascii="Tinos" w:hAnsi="Tinos" w:cs="Tinos" w:eastAsia="Tinos"/>
          <w:sz w:val="28"/>
          <w:highlight w:val="white"/>
        </w:rPr>
      </w:r>
      <w:r>
        <w:rPr>
          <w:rFonts w:ascii="Tinos" w:hAnsi="Tinos" w:cs="Tinos" w:eastAsia="Tinos"/>
          <w:sz w:val="28"/>
          <w:highlight w:val="white"/>
        </w:rPr>
      </w:r>
      <w:r>
        <w:rPr>
          <w:rFonts w:ascii="Tinos" w:hAnsi="Tinos" w:cs="Tinos" w:eastAsia="Tinos"/>
          <w:sz w:val="28"/>
        </w:rPr>
      </w:r>
    </w:p>
    <w:p>
      <w:pPr>
        <w:jc w:val="both"/>
        <w:spacing w:lineRule="auto" w:line="226" w:after="0"/>
        <w:rPr>
          <w:rFonts w:ascii="Tinos" w:hAnsi="Tinos" w:cs="Tinos" w:eastAsia="Tinos"/>
          <w:highlight w:val="white"/>
        </w:rPr>
      </w:pPr>
      <w:r>
        <w:rPr>
          <w:rFonts w:ascii="Tinos" w:hAnsi="Tinos" w:cs="Tinos" w:eastAsia="Tinos"/>
          <w:highlight w:val="white"/>
        </w:rPr>
      </w:r>
      <w:r>
        <w:rPr>
          <w:rFonts w:ascii="Tinos" w:hAnsi="Tinos" w:cs="Tinos" w:eastAsia="Tinos"/>
          <w:highlight w:val="whit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6">
    <w:name w:val="endnote text"/>
    <w:basedOn w:val="78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3"/>
    <w:uiPriority w:val="99"/>
    <w:semiHidden/>
    <w:unhideWhenUsed/>
    <w:rPr>
      <w:vertAlign w:val="superscript"/>
    </w:rPr>
  </w:style>
  <w:style w:type="paragraph" w:styleId="189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616">
    <w:name w:val="Heading 1"/>
    <w:basedOn w:val="788"/>
    <w:next w:val="788"/>
    <w:link w:val="6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7">
    <w:name w:val="Heading 1 Char"/>
    <w:link w:val="616"/>
    <w:uiPriority w:val="9"/>
    <w:rPr>
      <w:rFonts w:ascii="Arial" w:hAnsi="Arial" w:cs="Arial" w:eastAsia="Arial"/>
      <w:sz w:val="40"/>
      <w:szCs w:val="40"/>
    </w:rPr>
  </w:style>
  <w:style w:type="paragraph" w:styleId="618">
    <w:name w:val="Heading 2"/>
    <w:basedOn w:val="788"/>
    <w:next w:val="788"/>
    <w:link w:val="6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19">
    <w:name w:val="Heading 2 Char"/>
    <w:link w:val="618"/>
    <w:uiPriority w:val="9"/>
    <w:rPr>
      <w:rFonts w:ascii="Arial" w:hAnsi="Arial" w:cs="Arial" w:eastAsia="Arial"/>
      <w:sz w:val="34"/>
    </w:rPr>
  </w:style>
  <w:style w:type="paragraph" w:styleId="620">
    <w:name w:val="Heading 3"/>
    <w:basedOn w:val="788"/>
    <w:next w:val="788"/>
    <w:link w:val="6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1">
    <w:name w:val="Heading 3 Char"/>
    <w:link w:val="620"/>
    <w:uiPriority w:val="9"/>
    <w:rPr>
      <w:rFonts w:ascii="Arial" w:hAnsi="Arial" w:cs="Arial" w:eastAsia="Arial"/>
      <w:sz w:val="30"/>
      <w:szCs w:val="30"/>
    </w:rPr>
  </w:style>
  <w:style w:type="paragraph" w:styleId="622">
    <w:name w:val="Heading 4"/>
    <w:basedOn w:val="788"/>
    <w:next w:val="788"/>
    <w:link w:val="6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3">
    <w:name w:val="Heading 4 Char"/>
    <w:link w:val="622"/>
    <w:uiPriority w:val="9"/>
    <w:rPr>
      <w:rFonts w:ascii="Arial" w:hAnsi="Arial" w:cs="Arial" w:eastAsia="Arial"/>
      <w:b/>
      <w:bCs/>
      <w:sz w:val="26"/>
      <w:szCs w:val="26"/>
    </w:rPr>
  </w:style>
  <w:style w:type="paragraph" w:styleId="624">
    <w:name w:val="Heading 5"/>
    <w:basedOn w:val="788"/>
    <w:next w:val="788"/>
    <w:link w:val="6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5">
    <w:name w:val="Heading 5 Char"/>
    <w:link w:val="624"/>
    <w:uiPriority w:val="9"/>
    <w:rPr>
      <w:rFonts w:ascii="Arial" w:hAnsi="Arial" w:cs="Arial" w:eastAsia="Arial"/>
      <w:b/>
      <w:bCs/>
      <w:sz w:val="24"/>
      <w:szCs w:val="24"/>
    </w:rPr>
  </w:style>
  <w:style w:type="paragraph" w:styleId="626">
    <w:name w:val="Heading 6"/>
    <w:basedOn w:val="788"/>
    <w:next w:val="788"/>
    <w:link w:val="6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7">
    <w:name w:val="Heading 6 Char"/>
    <w:link w:val="626"/>
    <w:uiPriority w:val="9"/>
    <w:rPr>
      <w:rFonts w:ascii="Arial" w:hAnsi="Arial" w:cs="Arial" w:eastAsia="Arial"/>
      <w:b/>
      <w:bCs/>
      <w:sz w:val="22"/>
      <w:szCs w:val="22"/>
    </w:rPr>
  </w:style>
  <w:style w:type="paragraph" w:styleId="628">
    <w:name w:val="Heading 7"/>
    <w:basedOn w:val="788"/>
    <w:next w:val="788"/>
    <w:link w:val="6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29">
    <w:name w:val="Heading 7 Char"/>
    <w:link w:val="6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0">
    <w:name w:val="Heading 8"/>
    <w:basedOn w:val="788"/>
    <w:next w:val="788"/>
    <w:link w:val="6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1">
    <w:name w:val="Heading 8 Char"/>
    <w:link w:val="630"/>
    <w:uiPriority w:val="9"/>
    <w:rPr>
      <w:rFonts w:ascii="Arial" w:hAnsi="Arial" w:cs="Arial" w:eastAsia="Arial"/>
      <w:i/>
      <w:iCs/>
      <w:sz w:val="22"/>
      <w:szCs w:val="22"/>
    </w:rPr>
  </w:style>
  <w:style w:type="paragraph" w:styleId="632">
    <w:name w:val="Heading 9"/>
    <w:basedOn w:val="788"/>
    <w:next w:val="788"/>
    <w:link w:val="6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3">
    <w:name w:val="Heading 9 Char"/>
    <w:link w:val="632"/>
    <w:uiPriority w:val="9"/>
    <w:rPr>
      <w:rFonts w:ascii="Arial" w:hAnsi="Arial" w:cs="Arial" w:eastAsia="Arial"/>
      <w:i/>
      <w:iCs/>
      <w:sz w:val="21"/>
      <w:szCs w:val="21"/>
    </w:rPr>
  </w:style>
  <w:style w:type="paragraph" w:styleId="634">
    <w:name w:val="Title"/>
    <w:basedOn w:val="788"/>
    <w:next w:val="788"/>
    <w:link w:val="6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5">
    <w:name w:val="Title Char"/>
    <w:link w:val="634"/>
    <w:uiPriority w:val="10"/>
    <w:rPr>
      <w:sz w:val="48"/>
      <w:szCs w:val="48"/>
    </w:rPr>
  </w:style>
  <w:style w:type="paragraph" w:styleId="636">
    <w:name w:val="Subtitle"/>
    <w:basedOn w:val="788"/>
    <w:next w:val="788"/>
    <w:link w:val="637"/>
    <w:qFormat/>
    <w:uiPriority w:val="11"/>
    <w:rPr>
      <w:sz w:val="24"/>
      <w:szCs w:val="24"/>
    </w:rPr>
    <w:pPr>
      <w:spacing w:after="200" w:before="200"/>
    </w:pPr>
  </w:style>
  <w:style w:type="character" w:styleId="637">
    <w:name w:val="Subtitle Char"/>
    <w:link w:val="636"/>
    <w:uiPriority w:val="11"/>
    <w:rPr>
      <w:sz w:val="24"/>
      <w:szCs w:val="24"/>
    </w:rPr>
  </w:style>
  <w:style w:type="paragraph" w:styleId="638">
    <w:name w:val="Quote"/>
    <w:basedOn w:val="788"/>
    <w:next w:val="788"/>
    <w:link w:val="639"/>
    <w:qFormat/>
    <w:uiPriority w:val="29"/>
    <w:rPr>
      <w:i/>
    </w:rPr>
    <w:pPr>
      <w:ind w:left="720" w:right="720"/>
    </w:pPr>
  </w:style>
  <w:style w:type="character" w:styleId="639">
    <w:name w:val="Quote Char"/>
    <w:link w:val="638"/>
    <w:uiPriority w:val="29"/>
    <w:rPr>
      <w:i/>
    </w:rPr>
  </w:style>
  <w:style w:type="paragraph" w:styleId="640">
    <w:name w:val="Intense Quote"/>
    <w:basedOn w:val="788"/>
    <w:next w:val="788"/>
    <w:link w:val="64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1">
    <w:name w:val="Intense Quote Char"/>
    <w:link w:val="640"/>
    <w:uiPriority w:val="30"/>
    <w:rPr>
      <w:i/>
    </w:rPr>
  </w:style>
  <w:style w:type="paragraph" w:styleId="642">
    <w:name w:val="Header"/>
    <w:basedOn w:val="788"/>
    <w:link w:val="6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3">
    <w:name w:val="Header Char"/>
    <w:link w:val="642"/>
    <w:uiPriority w:val="99"/>
  </w:style>
  <w:style w:type="paragraph" w:styleId="644">
    <w:name w:val="Footer"/>
    <w:basedOn w:val="788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5">
    <w:name w:val="Footer Char"/>
    <w:link w:val="644"/>
    <w:uiPriority w:val="99"/>
  </w:style>
  <w:style w:type="paragraph" w:styleId="646">
    <w:name w:val="Caption"/>
    <w:basedOn w:val="788"/>
    <w:next w:val="7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644"/>
    <w:uiPriority w:val="99"/>
  </w:style>
  <w:style w:type="table" w:styleId="648">
    <w:name w:val="Table Grid"/>
    <w:basedOn w:val="7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basedOn w:val="7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basedOn w:val="7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7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5">
    <w:name w:val="Grid Table 1 Light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4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>
    <w:name w:val="Grid Table 4 - Accent 1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8">
    <w:name w:val="Grid Table 4 - Accent 2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9">
    <w:name w:val="Grid Table 4 - Accent 3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0">
    <w:name w:val="Grid Table 4 - Accent 4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1">
    <w:name w:val="Grid Table 4 - Accent 5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2">
    <w:name w:val="Grid Table 4 - Accent 6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3">
    <w:name w:val="Grid Table 5 Dark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6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2">
    <w:name w:val="List Table 2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3">
    <w:name w:val="List Table 2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4">
    <w:name w:val="List Table 2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5">
    <w:name w:val="List Table 2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6">
    <w:name w:val="List Table 2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7">
    <w:name w:val="List Table 2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8">
    <w:name w:val="List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0">
    <w:name w:val="List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1">
    <w:name w:val="List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List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3">
    <w:name w:val="List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List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5">
    <w:name w:val="List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6">
    <w:name w:val="List Table 7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48">
    <w:name w:val="List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9">
    <w:name w:val="List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0">
    <w:name w:val="List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1">
    <w:name w:val="List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2">
    <w:name w:val="List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3">
    <w:name w:val="Lined - Accent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1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Lined - Accent 2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Lined - Accent 3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Lined - Accent 4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5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Lined - Accent 6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1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 &amp; Lined - Accent 2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Bordered &amp; Lined - Accent 3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 4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5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 &amp; Lined - Accent 6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7">
    <w:name w:val="Bordered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8">
    <w:name w:val="Bordered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9">
    <w:name w:val="Bordered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0">
    <w:name w:val="Bordered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1">
    <w:name w:val="Bordered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2">
    <w:name w:val="Bordered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3">
    <w:name w:val="Bordered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4">
    <w:name w:val="Hyperlink"/>
    <w:uiPriority w:val="99"/>
    <w:unhideWhenUsed/>
    <w:rPr>
      <w:color w:val="0000FF" w:themeColor="hyperlink"/>
      <w:u w:val="single"/>
    </w:rPr>
  </w:style>
  <w:style w:type="paragraph" w:styleId="775">
    <w:name w:val="footnote text"/>
    <w:basedOn w:val="788"/>
    <w:link w:val="776"/>
    <w:uiPriority w:val="99"/>
    <w:semiHidden/>
    <w:unhideWhenUsed/>
    <w:rPr>
      <w:sz w:val="18"/>
    </w:rPr>
    <w:pPr>
      <w:spacing w:lineRule="auto" w:line="240" w:after="40"/>
    </w:pPr>
  </w:style>
  <w:style w:type="character" w:styleId="776">
    <w:name w:val="Footnote Text Char"/>
    <w:link w:val="775"/>
    <w:uiPriority w:val="99"/>
    <w:rPr>
      <w:sz w:val="18"/>
    </w:rPr>
  </w:style>
  <w:style w:type="character" w:styleId="777">
    <w:name w:val="footnote reference"/>
    <w:uiPriority w:val="99"/>
    <w:unhideWhenUsed/>
    <w:rPr>
      <w:vertAlign w:val="superscript"/>
    </w:rPr>
  </w:style>
  <w:style w:type="paragraph" w:styleId="778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779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780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781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782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783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784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785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786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787">
    <w:name w:val="TOC Heading"/>
    <w:uiPriority w:val="39"/>
    <w:unhideWhenUsed/>
  </w:style>
  <w:style w:type="paragraph" w:styleId="788" w:default="1">
    <w:name w:val="Normal"/>
    <w:qFormat/>
  </w:style>
  <w:style w:type="table" w:styleId="7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0" w:default="1">
    <w:name w:val="No List"/>
    <w:uiPriority w:val="99"/>
    <w:semiHidden/>
    <w:unhideWhenUsed/>
  </w:style>
  <w:style w:type="paragraph" w:styleId="791">
    <w:name w:val="No Spacing"/>
    <w:basedOn w:val="788"/>
    <w:qFormat/>
    <w:uiPriority w:val="1"/>
    <w:pPr>
      <w:spacing w:lineRule="auto" w:line="240" w:after="0"/>
    </w:pPr>
  </w:style>
  <w:style w:type="paragraph" w:styleId="792">
    <w:name w:val="List Paragraph"/>
    <w:basedOn w:val="788"/>
    <w:qFormat/>
    <w:uiPriority w:val="34"/>
    <w:pPr>
      <w:contextualSpacing w:val="true"/>
      <w:ind w:left="720"/>
    </w:pPr>
  </w:style>
  <w:style w:type="character" w:styleId="793" w:default="1">
    <w:name w:val="Default Paragraph Font"/>
    <w:uiPriority w:val="1"/>
    <w:semiHidden/>
    <w:unhideWhenUsed/>
  </w:style>
  <w:style w:type="character" w:styleId="1_727" w:customStyle="1">
    <w:name w:val="blk"/>
    <w:basedOn w:val="82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2023-08-04T12:25:42Z</dcterms:modified>
</cp:coreProperties>
</file>